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FC48BFC" w14:textId="26F507A4" w:rsidR="006C2940" w:rsidRDefault="00154CFB" w:rsidP="00154CFB">
      <w:pPr>
        <w:spacing w:after="0"/>
        <w:jc w:val="center"/>
      </w:pPr>
      <w:r>
        <w:t>projekt 10/3</w:t>
      </w:r>
      <w:r w:rsidR="006B5088">
        <w:br/>
      </w:r>
      <w:bookmarkStart w:id="0" w:name="_GoBack"/>
      <w:r w:rsidR="006B5088">
        <w:rPr>
          <w:b/>
          <w:color w:val="000000"/>
        </w:rPr>
        <w:t>UCHWAŁA Nr</w:t>
      </w:r>
      <w:bookmarkEnd w:id="0"/>
    </w:p>
    <w:p w14:paraId="523B0EC0" w14:textId="77777777" w:rsidR="006C2940" w:rsidRDefault="006B5088">
      <w:pPr>
        <w:spacing w:after="0"/>
        <w:jc w:val="center"/>
      </w:pPr>
      <w:r>
        <w:rPr>
          <w:b/>
          <w:color w:val="000000"/>
        </w:rPr>
        <w:t>RADY MIEJSKIEJ W MROCZY</w:t>
      </w:r>
    </w:p>
    <w:p w14:paraId="3EB1AB2D" w14:textId="77777777" w:rsidR="006C2940" w:rsidRDefault="006B5088">
      <w:pPr>
        <w:spacing w:before="80" w:after="0"/>
        <w:jc w:val="center"/>
      </w:pPr>
      <w:r>
        <w:rPr>
          <w:b/>
          <w:color w:val="000000"/>
        </w:rPr>
        <w:t>z dnia 22 kwietnia 2022 r.</w:t>
      </w:r>
    </w:p>
    <w:p w14:paraId="4100A581" w14:textId="77777777" w:rsidR="006C2940" w:rsidRDefault="006C2940">
      <w:pPr>
        <w:spacing w:before="80" w:after="0"/>
        <w:jc w:val="center"/>
        <w:rPr>
          <w:b/>
          <w:color w:val="000000"/>
        </w:rPr>
      </w:pPr>
    </w:p>
    <w:p w14:paraId="50DA1CA1" w14:textId="77777777" w:rsidR="006C2940" w:rsidRDefault="006B5088">
      <w:pPr>
        <w:spacing w:before="80" w:after="0"/>
        <w:jc w:val="center"/>
      </w:pPr>
      <w:r>
        <w:rPr>
          <w:b/>
          <w:color w:val="000000"/>
        </w:rPr>
        <w:t xml:space="preserve">w sprawie dopuszczenia zapłaty podatków, opłat lokalnych i niepodatkowych należności budżetowych o charakterze publicznoprawnym stanowiących dochody budżetu </w:t>
      </w:r>
      <w:r>
        <w:rPr>
          <w:b/>
          <w:color w:val="000000"/>
        </w:rPr>
        <w:br/>
        <w:t>Gminy Mrocza na prawach powiatu za pomocą innego instrumentu płatniczego</w:t>
      </w:r>
    </w:p>
    <w:p w14:paraId="5A89335D" w14:textId="275AFE91" w:rsidR="006C2940" w:rsidRDefault="006B5088">
      <w:pPr>
        <w:spacing w:before="80" w:after="240"/>
        <w:jc w:val="both"/>
      </w:pPr>
      <w:r>
        <w:rPr>
          <w:color w:val="000000"/>
        </w:rPr>
        <w:br/>
        <w:t xml:space="preserve">Na podstawie </w:t>
      </w:r>
      <w:r>
        <w:rPr>
          <w:color w:val="1B1B1B"/>
        </w:rPr>
        <w:t>art. 18 ust. 2 pkt 8</w:t>
      </w:r>
      <w:r>
        <w:rPr>
          <w:color w:val="000000"/>
        </w:rPr>
        <w:t xml:space="preserve"> ustawy z dnia 8 marca 1990 r. o samorządzie gminnym </w:t>
      </w:r>
      <w:r w:rsidR="00C02832">
        <w:rPr>
          <w:color w:val="000000"/>
        </w:rPr>
        <w:br/>
      </w:r>
      <w:r>
        <w:rPr>
          <w:color w:val="000000"/>
        </w:rPr>
        <w:t>(Dz. U. z 2022 r. poz. 559</w:t>
      </w:r>
      <w:r w:rsidR="006D2271">
        <w:rPr>
          <w:color w:val="000000"/>
        </w:rPr>
        <w:t xml:space="preserve">), </w:t>
      </w:r>
      <w:r>
        <w:rPr>
          <w:color w:val="1B1B1B"/>
        </w:rPr>
        <w:t>art. 61a § 1</w:t>
      </w:r>
      <w:r>
        <w:rPr>
          <w:color w:val="000000"/>
        </w:rPr>
        <w:t xml:space="preserve"> w związku z </w:t>
      </w:r>
      <w:r>
        <w:rPr>
          <w:color w:val="1B1B1B"/>
        </w:rPr>
        <w:t>art. 3 pkt 3</w:t>
      </w:r>
      <w:r>
        <w:rPr>
          <w:color w:val="000000"/>
        </w:rPr>
        <w:t xml:space="preserve"> ustawy z dnia 29 sierpnia 1997 r. - Ordynacja podatkowa (Dz. U. z 2021 r. poz. 1540 z późn. zm.) oraz </w:t>
      </w:r>
      <w:r>
        <w:rPr>
          <w:color w:val="1B1B1B"/>
        </w:rPr>
        <w:t>art. 60 pkt 7</w:t>
      </w:r>
      <w:r>
        <w:rPr>
          <w:color w:val="000000"/>
        </w:rPr>
        <w:t xml:space="preserve"> i </w:t>
      </w:r>
      <w:r>
        <w:rPr>
          <w:color w:val="1B1B1B"/>
        </w:rPr>
        <w:t>art. 67 ust. 1</w:t>
      </w:r>
      <w:r>
        <w:rPr>
          <w:color w:val="000000"/>
        </w:rPr>
        <w:t xml:space="preserve"> ustawy z dnia 27 sierpnia 2009 r. o finansach publicznych (tekst jedn.: Dz. U. z 2021 r. poz. 305 z późn. zm.) Rada Miejska w Mroczy uchwala, co następuje:</w:t>
      </w:r>
    </w:p>
    <w:p w14:paraId="5C845FAF" w14:textId="68E4C382" w:rsidR="006C2940" w:rsidRDefault="006B5088" w:rsidP="00AA3A36">
      <w:pPr>
        <w:spacing w:before="26" w:after="240"/>
        <w:ind w:firstLine="720"/>
        <w:jc w:val="both"/>
      </w:pPr>
      <w:r>
        <w:rPr>
          <w:b/>
          <w:color w:val="000000"/>
        </w:rPr>
        <w:t>§  1. </w:t>
      </w:r>
      <w:r>
        <w:rPr>
          <w:color w:val="000000"/>
        </w:rPr>
        <w:t>Dopuszcza się możliwość zapłaty podatków, opłat lokalnych oraz niepodatkowych należności budżetowych o charakterze publicznoprawnym, stanowiących dochody budżetu Gminy Mrocza za pomocą innego instrumentu płatniczego, na którym przechowywany jest pieniądz elektroniczny.</w:t>
      </w:r>
    </w:p>
    <w:p w14:paraId="5D57A1CD" w14:textId="77777777" w:rsidR="006C2940" w:rsidRDefault="006B5088" w:rsidP="00AA3A36">
      <w:pPr>
        <w:spacing w:before="26" w:after="240"/>
        <w:ind w:firstLine="720"/>
      </w:pPr>
      <w:r>
        <w:rPr>
          <w:b/>
          <w:color w:val="000000"/>
        </w:rPr>
        <w:t>§  2. </w:t>
      </w:r>
      <w:r>
        <w:rPr>
          <w:color w:val="000000"/>
        </w:rPr>
        <w:t>Wykonanie uchwały powierza się Burmistrzowi Miasta i Gminy Mrocza.</w:t>
      </w:r>
    </w:p>
    <w:p w14:paraId="05E71E87" w14:textId="0D2E3927" w:rsidR="006C2940" w:rsidRDefault="006B5088" w:rsidP="00AA3A36">
      <w:pPr>
        <w:spacing w:before="26" w:after="240"/>
        <w:ind w:firstLine="720"/>
        <w:jc w:val="both"/>
        <w:rPr>
          <w:color w:val="000000"/>
        </w:rPr>
      </w:pPr>
      <w:r>
        <w:rPr>
          <w:b/>
          <w:color w:val="000000"/>
        </w:rPr>
        <w:t>§  3. </w:t>
      </w:r>
      <w:r>
        <w:rPr>
          <w:color w:val="000000"/>
        </w:rPr>
        <w:t>Uchwała wchodzi w życie po upływie 14 dni od dnia ogłoszenia w Dzienniku Urzędowym Województwa Kujawsko-Pomorskiego.</w:t>
      </w:r>
    </w:p>
    <w:p w14:paraId="4153509B" w14:textId="34481011" w:rsidR="00C02832" w:rsidRDefault="00C02832">
      <w:pPr>
        <w:spacing w:before="26" w:after="240"/>
        <w:jc w:val="both"/>
        <w:rPr>
          <w:color w:val="000000"/>
        </w:rPr>
      </w:pPr>
    </w:p>
    <w:p w14:paraId="4B9D3A23" w14:textId="69CC2203" w:rsidR="00C02832" w:rsidRDefault="00C02832">
      <w:pPr>
        <w:spacing w:before="26" w:after="240"/>
        <w:jc w:val="both"/>
        <w:rPr>
          <w:color w:val="000000"/>
        </w:rPr>
      </w:pPr>
    </w:p>
    <w:p w14:paraId="5741AA00" w14:textId="0D23A4D5" w:rsidR="00C02832" w:rsidRDefault="00C02832">
      <w:pPr>
        <w:spacing w:before="26" w:after="240"/>
        <w:jc w:val="both"/>
        <w:rPr>
          <w:color w:val="000000"/>
        </w:rPr>
      </w:pPr>
    </w:p>
    <w:p w14:paraId="2B774943" w14:textId="1A424691" w:rsidR="00C02832" w:rsidRDefault="00C02832">
      <w:pPr>
        <w:spacing w:before="26" w:after="240"/>
        <w:jc w:val="both"/>
        <w:rPr>
          <w:color w:val="000000"/>
        </w:rPr>
      </w:pPr>
    </w:p>
    <w:p w14:paraId="7B99D721" w14:textId="57DEFE81" w:rsidR="00C02832" w:rsidRDefault="00C02832">
      <w:pPr>
        <w:spacing w:before="26" w:after="240"/>
        <w:jc w:val="both"/>
        <w:rPr>
          <w:color w:val="000000"/>
        </w:rPr>
      </w:pPr>
    </w:p>
    <w:p w14:paraId="20D67BE6" w14:textId="5F5BE2A5" w:rsidR="00C02832" w:rsidRDefault="00C02832">
      <w:pPr>
        <w:spacing w:before="26" w:after="240"/>
        <w:jc w:val="both"/>
        <w:rPr>
          <w:color w:val="000000"/>
        </w:rPr>
      </w:pPr>
    </w:p>
    <w:p w14:paraId="6312C7B4" w14:textId="62843694" w:rsidR="00C02832" w:rsidRDefault="00C02832">
      <w:pPr>
        <w:spacing w:before="26" w:after="240"/>
        <w:jc w:val="both"/>
        <w:rPr>
          <w:color w:val="000000"/>
        </w:rPr>
      </w:pPr>
    </w:p>
    <w:p w14:paraId="052EC514" w14:textId="6E4B46A9" w:rsidR="00C02832" w:rsidRDefault="00C02832">
      <w:pPr>
        <w:spacing w:before="26" w:after="240"/>
        <w:jc w:val="both"/>
        <w:rPr>
          <w:color w:val="000000"/>
        </w:rPr>
      </w:pPr>
    </w:p>
    <w:p w14:paraId="58E2BCA6" w14:textId="0D6C24DE" w:rsidR="00C02832" w:rsidRDefault="00C02832">
      <w:pPr>
        <w:spacing w:before="26" w:after="240"/>
        <w:jc w:val="both"/>
        <w:rPr>
          <w:color w:val="000000"/>
        </w:rPr>
      </w:pPr>
    </w:p>
    <w:p w14:paraId="08CF1618" w14:textId="0B8F481A" w:rsidR="00C02832" w:rsidRDefault="00C02832">
      <w:pPr>
        <w:spacing w:before="26" w:after="240"/>
        <w:jc w:val="both"/>
        <w:rPr>
          <w:color w:val="000000"/>
        </w:rPr>
      </w:pPr>
    </w:p>
    <w:p w14:paraId="12CDB576" w14:textId="78B72331" w:rsidR="00C02832" w:rsidRDefault="00C02832">
      <w:pPr>
        <w:spacing w:before="26" w:after="240"/>
        <w:jc w:val="both"/>
        <w:rPr>
          <w:color w:val="000000"/>
        </w:rPr>
      </w:pPr>
    </w:p>
    <w:p w14:paraId="7D90BE79" w14:textId="77777777" w:rsidR="00C02832" w:rsidRPr="00C02832" w:rsidRDefault="00C02832" w:rsidP="00C02832">
      <w:pPr>
        <w:shd w:val="clear" w:color="auto" w:fill="FFFFFF"/>
        <w:suppressAutoHyphens w:val="0"/>
        <w:spacing w:line="360" w:lineRule="atLeast"/>
        <w:jc w:val="center"/>
        <w:outlineLvl w:val="4"/>
        <w:rPr>
          <w:b/>
          <w:bCs/>
          <w:color w:val="000000"/>
        </w:rPr>
      </w:pPr>
      <w:r w:rsidRPr="00C02832">
        <w:rPr>
          <w:b/>
          <w:bCs/>
          <w:color w:val="000000"/>
        </w:rPr>
        <w:lastRenderedPageBreak/>
        <w:t>Uzasadnienie</w:t>
      </w:r>
    </w:p>
    <w:p w14:paraId="34E811AF" w14:textId="355E4D12" w:rsidR="00C02832" w:rsidRPr="00C02832" w:rsidRDefault="00C02832" w:rsidP="00C02832">
      <w:pPr>
        <w:shd w:val="clear" w:color="auto" w:fill="FFFFFF"/>
        <w:suppressAutoHyphens w:val="0"/>
        <w:spacing w:after="0"/>
        <w:jc w:val="both"/>
        <w:rPr>
          <w:color w:val="000000"/>
        </w:rPr>
      </w:pPr>
      <w:r w:rsidRPr="00C02832">
        <w:rPr>
          <w:color w:val="000000"/>
        </w:rPr>
        <w:t xml:space="preserve">Zgodnie z </w:t>
      </w:r>
      <w:hyperlink r:id="rId5" w:anchor="/document/16799056?unitId=art(61(a))&amp;cm=DOCUMENT" w:history="1">
        <w:r w:rsidRPr="00C02832">
          <w:rPr>
            <w:color w:val="000000"/>
          </w:rPr>
          <w:t>art. 61a</w:t>
        </w:r>
      </w:hyperlink>
      <w:r w:rsidRPr="00C02832">
        <w:rPr>
          <w:color w:val="000000"/>
        </w:rPr>
        <w:t xml:space="preserve"> ustawy z dnia 29 sierpnia 1997 r. Ordynacja podatkowa (Dz. U. z 2021 r. poz. 1540 z późn. zm.), Rada </w:t>
      </w:r>
      <w:r w:rsidR="006B5088">
        <w:rPr>
          <w:color w:val="000000"/>
        </w:rPr>
        <w:t>g</w:t>
      </w:r>
      <w:r w:rsidRPr="00C02832">
        <w:rPr>
          <w:color w:val="000000"/>
        </w:rPr>
        <w:t xml:space="preserve">miny w drodze uchwały może dopuścić zapłatę podatków stanowiących dochody budżetu gminy za pomocą instrumentu płatniczego, w tym instrumentu płatniczego, na którym przechowywany jest pieniądz elektroniczny. W myśl </w:t>
      </w:r>
      <w:r w:rsidR="00DB2228">
        <w:rPr>
          <w:color w:val="000000"/>
        </w:rPr>
        <w:br/>
      </w:r>
      <w:hyperlink r:id="rId6" w:anchor="/document/16799056?unitId=art(3)pkt(3)&amp;cm=DOCUMENT" w:history="1">
        <w:r w:rsidRPr="00C02832">
          <w:rPr>
            <w:color w:val="000000"/>
          </w:rPr>
          <w:t>art. 3 pkt 3</w:t>
        </w:r>
      </w:hyperlink>
      <w:r w:rsidRPr="00C02832">
        <w:rPr>
          <w:color w:val="000000"/>
        </w:rPr>
        <w:t xml:space="preserve"> Ordynacji podatkowej przez podatek rozumie się zaliczki na podatki, raty podatków, jeżeli przepisy prawa podatkowego przewidują płatność podatku w ratach, opłaty oraz niepodatkowe należności budżetowe. Podjęcie przedmiotowej Uchwały umożliwia dokonywanie płatności kartą płatniczą. Możliwość zapłaty za pomocą powszechnie obowiązującej w obrocie bezgotówkowym formy płatności, uzupełnia katalog istniejących sposobów regulowania zobowiązań wobec Gminy </w:t>
      </w:r>
      <w:r w:rsidR="006F0C82">
        <w:rPr>
          <w:color w:val="000000"/>
        </w:rPr>
        <w:t>Mrocza</w:t>
      </w:r>
      <w:r w:rsidRPr="00C02832">
        <w:rPr>
          <w:color w:val="000000"/>
        </w:rPr>
        <w:t xml:space="preserve">. Ponadto umożliwia korzystanie </w:t>
      </w:r>
      <w:r w:rsidR="006F0C82">
        <w:rPr>
          <w:color w:val="000000"/>
        </w:rPr>
        <w:br/>
      </w:r>
      <w:r w:rsidRPr="00C02832">
        <w:rPr>
          <w:color w:val="000000"/>
        </w:rPr>
        <w:t>z Programu Wsparcia Obrotu Bezgotówkowego prowadzonego przez Fundację Polska Bezgotówkowa. Udział w Programie nie powoduje skutków finansowych ani po stronie podatnika</w:t>
      </w:r>
      <w:r w:rsidR="006F0C82">
        <w:rPr>
          <w:color w:val="000000"/>
        </w:rPr>
        <w:t>,</w:t>
      </w:r>
      <w:r w:rsidRPr="00C02832">
        <w:rPr>
          <w:color w:val="000000"/>
        </w:rPr>
        <w:t xml:space="preserve"> ani organu podatkowego. Korzystanie z Programu w ramach upowszechniania płatności bezgotówkowych w terminalach POS jest dla </w:t>
      </w:r>
      <w:r w:rsidR="006F0C82">
        <w:rPr>
          <w:color w:val="000000"/>
        </w:rPr>
        <w:t>Gminy</w:t>
      </w:r>
      <w:r w:rsidRPr="00C02832">
        <w:rPr>
          <w:color w:val="000000"/>
        </w:rPr>
        <w:t xml:space="preserve"> bezpłatne do 31 grudnia </w:t>
      </w:r>
      <w:r w:rsidR="006F0C82">
        <w:rPr>
          <w:color w:val="000000"/>
        </w:rPr>
        <w:br/>
      </w:r>
      <w:r w:rsidRPr="00C02832">
        <w:rPr>
          <w:color w:val="000000"/>
        </w:rPr>
        <w:t>2025 r.</w:t>
      </w:r>
      <w:r w:rsidR="00DB2228">
        <w:rPr>
          <w:color w:val="000000"/>
        </w:rPr>
        <w:t xml:space="preserve"> K</w:t>
      </w:r>
      <w:r w:rsidRPr="00C02832">
        <w:rPr>
          <w:color w:val="000000"/>
        </w:rPr>
        <w:t>lienci Urzędu, dokonujący płatności z wykorzystaniem terminala nie będą ponosić opłat za dokonanie transakcji realizowanych w ramach Programu.</w:t>
      </w:r>
    </w:p>
    <w:p w14:paraId="69DFC7A9" w14:textId="77777777" w:rsidR="00C02832" w:rsidRDefault="00C02832">
      <w:pPr>
        <w:spacing w:before="26" w:after="240"/>
        <w:jc w:val="both"/>
      </w:pPr>
    </w:p>
    <w:sectPr w:rsidR="00C02832">
      <w:pgSz w:w="11906" w:h="16838"/>
      <w:pgMar w:top="1440" w:right="1440" w:bottom="1440" w:left="1440" w:header="0" w:footer="0" w:gutter="0"/>
      <w:cols w:space="708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40502020204"/>
    <w:charset w:val="EE"/>
    <w:family w:val="swiss"/>
    <w:pitch w:val="variable"/>
    <w:sig w:usb0="8100AAF7" w:usb1="0000807B" w:usb2="00000008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2940"/>
    <w:rsid w:val="00154CFB"/>
    <w:rsid w:val="006B5088"/>
    <w:rsid w:val="006C2940"/>
    <w:rsid w:val="006D2271"/>
    <w:rsid w:val="006F0C82"/>
    <w:rsid w:val="00AA3A36"/>
    <w:rsid w:val="00C02832"/>
    <w:rsid w:val="00DB2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39A7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pl-PL" w:eastAsia="zh-CN" w:bidi="hi-IN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/>
    <w:lsdException w:name="Emphasis" w:semiHidden="0" w:uiPriority="20" w:unhideWhenUsed="0" w:qFormat="1"/>
    <w:lsdException w:name="Table Grid" w:semiHidden="0" w:uiPriority="59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/>
    <w:lsdException w:name="Intense Emphasis" w:semiHidden="0" w:unhideWhenUsed="0"/>
  </w:latentStyles>
  <w:style w:type="paragraph" w:default="1" w:styleId="Normalny">
    <w:name w:val="Normal"/>
    <w:qFormat/>
    <w:rsid w:val="004A3277"/>
    <w:pPr>
      <w:suppressAutoHyphens/>
      <w:spacing w:after="200"/>
    </w:pPr>
    <w:rPr>
      <w:rFonts w:ascii="Times New Roman" w:eastAsia="Times New Roman" w:hAnsi="Times New Roman" w:cs="Times New Roman"/>
      <w:color w:val="00000A"/>
      <w:sz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HeaderChar">
    <w:name w:val="Header Char"/>
    <w:basedOn w:val="Domylnaczcionkaakapitu"/>
    <w:link w:val="Gwka"/>
    <w:uiPriority w:val="99"/>
    <w:qFormat/>
    <w:rsid w:val="00841CD9"/>
  </w:style>
  <w:style w:type="character" w:customStyle="1" w:styleId="Nagwek1Znak">
    <w:name w:val="Nagłówek 1 Znak"/>
    <w:basedOn w:val="Domylnaczcionkaakapitu"/>
    <w:link w:val="Nagwek1"/>
    <w:uiPriority w:val="9"/>
    <w:qFormat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qFormat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qFormat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Nagwek4Znak">
    <w:name w:val="Nagłówek 4 Znak"/>
    <w:basedOn w:val="Domylnaczcionkaakapitu"/>
    <w:link w:val="Nagwek4"/>
    <w:uiPriority w:val="9"/>
    <w:qFormat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customStyle="1" w:styleId="PodtytuZnak">
    <w:name w:val="Podtytuł Znak"/>
    <w:basedOn w:val="Domylnaczcionkaakapitu"/>
    <w:link w:val="Podtytu"/>
    <w:uiPriority w:val="11"/>
    <w:qFormat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10"/>
    <w:qFormat/>
    <w:rsid w:val="00841CD9"/>
    <w:rPr>
      <w:rFonts w:asciiTheme="majorHAnsi" w:eastAsiaTheme="majorEastAsia" w:hAnsiTheme="majorHAnsi" w:cstheme="majorBidi"/>
      <w:color w:val="323E4F" w:themeColor="text2" w:themeShade="BF"/>
      <w:spacing w:val="5"/>
      <w:sz w:val="52"/>
      <w:szCs w:val="52"/>
    </w:rPr>
  </w:style>
  <w:style w:type="character" w:customStyle="1" w:styleId="Wyrnienie">
    <w:name w:val="Wyróżnienie"/>
    <w:basedOn w:val="Domylnaczcionkaakapitu"/>
    <w:uiPriority w:val="20"/>
    <w:qFormat/>
    <w:rsid w:val="00D1197D"/>
    <w:rPr>
      <w:i/>
      <w:iCs/>
    </w:rPr>
  </w:style>
  <w:style w:type="character" w:customStyle="1" w:styleId="czeinternetowe">
    <w:name w:val="Łącze internetowe"/>
    <w:basedOn w:val="Domylnaczcionkaakapitu"/>
    <w:uiPriority w:val="99"/>
    <w:unhideWhenUsed/>
    <w:rPr>
      <w:color w:val="0563C1" w:themeColor="hyperlink"/>
      <w:u w:val="single"/>
    </w:rPr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  <w:rPr>
      <w:rFonts w:cs="Lucida Sans"/>
    </w:rPr>
  </w:style>
  <w:style w:type="paragraph" w:styleId="Podpis">
    <w:name w:val="Signature"/>
    <w:basedOn w:val="Normalny"/>
    <w:pPr>
      <w:suppressLineNumbers/>
      <w:spacing w:before="120" w:after="120"/>
    </w:pPr>
    <w:rPr>
      <w:rFonts w:cs="Lucida Sans"/>
      <w:i/>
      <w:iCs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customStyle="1" w:styleId="Gwka">
    <w:name w:val="Główka"/>
    <w:basedOn w:val="Normalny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paragraph" w:styleId="Wcicienormalne">
    <w:name w:val="Normal Indent"/>
    <w:basedOn w:val="Normalny"/>
    <w:uiPriority w:val="99"/>
    <w:unhideWhenUsed/>
    <w:qFormat/>
    <w:rsid w:val="00841CD9"/>
    <w:pPr>
      <w:ind w:left="720"/>
    </w:pPr>
  </w:style>
  <w:style w:type="paragraph" w:styleId="Podtytu">
    <w:name w:val="Subtitle"/>
    <w:basedOn w:val="Normalny"/>
    <w:next w:val="Normalny"/>
    <w:link w:val="PodtytuZnak"/>
    <w:uiPriority w:val="11"/>
    <w:qFormat/>
    <w:rsid w:val="00841CD9"/>
    <w:p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paragraph" w:styleId="Tytu">
    <w:name w:val="Title"/>
    <w:basedOn w:val="Normalny"/>
    <w:next w:val="Normalny"/>
    <w:link w:val="TytuZnak"/>
    <w:uiPriority w:val="10"/>
    <w:qFormat/>
    <w:rsid w:val="00841CD9"/>
    <w:pPr>
      <w:pBdr>
        <w:bottom w:val="single" w:sz="8" w:space="4" w:color="4F81BD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sz w:val="52"/>
      <w:szCs w:val="52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7109C0"/>
    <w:pPr>
      <w:spacing w:line="240" w:lineRule="auto"/>
    </w:pPr>
    <w:rPr>
      <w:b/>
      <w:bCs/>
      <w:color w:val="4472C4" w:themeColor="accent1"/>
      <w:sz w:val="18"/>
      <w:szCs w:val="18"/>
    </w:rPr>
  </w:style>
  <w:style w:type="paragraph" w:customStyle="1" w:styleId="HeaderStyle">
    <w:name w:val="HeaderStyle"/>
    <w:qFormat/>
    <w:pPr>
      <w:suppressAutoHyphens/>
      <w:spacing w:after="200" w:line="240" w:lineRule="auto"/>
      <w:jc w:val="center"/>
    </w:pPr>
    <w:rPr>
      <w:rFonts w:ascii="Times New Roman" w:eastAsia="Times New Roman" w:hAnsi="Times New Roman" w:cs="Times New Roman"/>
      <w:b/>
      <w:color w:val="000000" w:themeColor="text1"/>
      <w:sz w:val="24"/>
    </w:rPr>
  </w:style>
  <w:style w:type="paragraph" w:customStyle="1" w:styleId="TitleStyle">
    <w:name w:val="TitleStyle"/>
    <w:qFormat/>
    <w:pPr>
      <w:suppressAutoHyphens/>
      <w:spacing w:after="200" w:line="240" w:lineRule="auto"/>
    </w:pPr>
    <w:rPr>
      <w:rFonts w:ascii="Times New Roman" w:eastAsia="Times New Roman" w:hAnsi="Times New Roman" w:cs="Times New Roman"/>
      <w:b/>
      <w:color w:val="000000" w:themeColor="text1"/>
      <w:sz w:val="24"/>
    </w:rPr>
  </w:style>
  <w:style w:type="paragraph" w:customStyle="1" w:styleId="TitleCenterStyle">
    <w:name w:val="TitleCenterStyle"/>
    <w:qFormat/>
    <w:pPr>
      <w:suppressAutoHyphens/>
      <w:spacing w:after="200" w:line="240" w:lineRule="auto"/>
      <w:jc w:val="center"/>
    </w:pPr>
    <w:rPr>
      <w:rFonts w:ascii="Times New Roman" w:eastAsia="Times New Roman" w:hAnsi="Times New Roman" w:cs="Times New Roman"/>
      <w:b/>
      <w:color w:val="000000" w:themeColor="text1"/>
      <w:sz w:val="24"/>
    </w:rPr>
  </w:style>
  <w:style w:type="paragraph" w:customStyle="1" w:styleId="NormalStyle">
    <w:name w:val="NormalStyle"/>
    <w:qFormat/>
    <w:pPr>
      <w:suppressAutoHyphens/>
      <w:spacing w:line="240" w:lineRule="auto"/>
    </w:pPr>
    <w:rPr>
      <w:rFonts w:ascii="Times New Roman" w:eastAsia="Times New Roman" w:hAnsi="Times New Roman" w:cs="Times New Roman"/>
      <w:color w:val="000000" w:themeColor="text1"/>
      <w:sz w:val="24"/>
    </w:rPr>
  </w:style>
  <w:style w:type="paragraph" w:customStyle="1" w:styleId="NormalSpacingStyle">
    <w:name w:val="NormalSpacingStyle"/>
    <w:qFormat/>
    <w:pPr>
      <w:suppressAutoHyphens/>
      <w:spacing w:after="200" w:line="240" w:lineRule="auto"/>
    </w:pPr>
    <w:rPr>
      <w:rFonts w:ascii="Times New Roman" w:eastAsia="Times New Roman" w:hAnsi="Times New Roman" w:cs="Times New Roman"/>
      <w:color w:val="000000" w:themeColor="text1"/>
      <w:sz w:val="24"/>
    </w:rPr>
  </w:style>
  <w:style w:type="paragraph" w:customStyle="1" w:styleId="BoldStyle">
    <w:name w:val="BoldStyle"/>
    <w:qFormat/>
    <w:pPr>
      <w:suppressAutoHyphens/>
      <w:spacing w:line="240" w:lineRule="auto"/>
    </w:pPr>
    <w:rPr>
      <w:rFonts w:ascii="Times New Roman" w:eastAsia="Times New Roman" w:hAnsi="Times New Roman" w:cs="Times New Roman"/>
      <w:b/>
      <w:color w:val="000000" w:themeColor="text1"/>
      <w:sz w:val="24"/>
    </w:rPr>
  </w:style>
  <w:style w:type="table" w:styleId="Tabela-Siatka">
    <w:name w:val="Table Grid"/>
    <w:basedOn w:val="Standardowy"/>
    <w:uiPriority w:val="59"/>
    <w:pPr>
      <w:spacing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rmalnyWeb">
    <w:name w:val="Normal (Web)"/>
    <w:basedOn w:val="Normalny"/>
    <w:uiPriority w:val="99"/>
    <w:semiHidden/>
    <w:unhideWhenUsed/>
    <w:rsid w:val="00C02832"/>
    <w:pPr>
      <w:suppressAutoHyphens w:val="0"/>
      <w:spacing w:before="100" w:beforeAutospacing="1" w:after="100" w:afterAutospacing="1" w:line="240" w:lineRule="auto"/>
    </w:pPr>
    <w:rPr>
      <w:color w:val="auto"/>
      <w:szCs w:val="24"/>
      <w:lang w:eastAsia="pl-PL" w:bidi="ar-SA"/>
    </w:rPr>
  </w:style>
  <w:style w:type="character" w:customStyle="1" w:styleId="text-justify">
    <w:name w:val="text-justify"/>
    <w:basedOn w:val="Domylnaczcionkaakapitu"/>
    <w:rsid w:val="00C02832"/>
  </w:style>
  <w:style w:type="character" w:styleId="Hipercze">
    <w:name w:val="Hyperlink"/>
    <w:basedOn w:val="Domylnaczcionkaakapitu"/>
    <w:uiPriority w:val="99"/>
    <w:semiHidden/>
    <w:unhideWhenUsed/>
    <w:rsid w:val="00C02832"/>
    <w:rPr>
      <w:color w:val="0000FF"/>
      <w:u w:val="single"/>
    </w:rPr>
  </w:style>
  <w:style w:type="character" w:styleId="Uwydatnienie">
    <w:name w:val="Emphasis"/>
    <w:basedOn w:val="Domylnaczcionkaakapitu"/>
    <w:uiPriority w:val="20"/>
    <w:qFormat/>
    <w:rsid w:val="00C02832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pl-PL" w:eastAsia="zh-CN" w:bidi="hi-IN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/>
    <w:lsdException w:name="Emphasis" w:semiHidden="0" w:uiPriority="20" w:unhideWhenUsed="0" w:qFormat="1"/>
    <w:lsdException w:name="Table Grid" w:semiHidden="0" w:uiPriority="59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/>
    <w:lsdException w:name="Intense Emphasis" w:semiHidden="0" w:unhideWhenUsed="0"/>
  </w:latentStyles>
  <w:style w:type="paragraph" w:default="1" w:styleId="Normalny">
    <w:name w:val="Normal"/>
    <w:qFormat/>
    <w:rsid w:val="004A3277"/>
    <w:pPr>
      <w:suppressAutoHyphens/>
      <w:spacing w:after="200"/>
    </w:pPr>
    <w:rPr>
      <w:rFonts w:ascii="Times New Roman" w:eastAsia="Times New Roman" w:hAnsi="Times New Roman" w:cs="Times New Roman"/>
      <w:color w:val="00000A"/>
      <w:sz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HeaderChar">
    <w:name w:val="Header Char"/>
    <w:basedOn w:val="Domylnaczcionkaakapitu"/>
    <w:link w:val="Gwka"/>
    <w:uiPriority w:val="99"/>
    <w:qFormat/>
    <w:rsid w:val="00841CD9"/>
  </w:style>
  <w:style w:type="character" w:customStyle="1" w:styleId="Nagwek1Znak">
    <w:name w:val="Nagłówek 1 Znak"/>
    <w:basedOn w:val="Domylnaczcionkaakapitu"/>
    <w:link w:val="Nagwek1"/>
    <w:uiPriority w:val="9"/>
    <w:qFormat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qFormat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qFormat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Nagwek4Znak">
    <w:name w:val="Nagłówek 4 Znak"/>
    <w:basedOn w:val="Domylnaczcionkaakapitu"/>
    <w:link w:val="Nagwek4"/>
    <w:uiPriority w:val="9"/>
    <w:qFormat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customStyle="1" w:styleId="PodtytuZnak">
    <w:name w:val="Podtytuł Znak"/>
    <w:basedOn w:val="Domylnaczcionkaakapitu"/>
    <w:link w:val="Podtytu"/>
    <w:uiPriority w:val="11"/>
    <w:qFormat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10"/>
    <w:qFormat/>
    <w:rsid w:val="00841CD9"/>
    <w:rPr>
      <w:rFonts w:asciiTheme="majorHAnsi" w:eastAsiaTheme="majorEastAsia" w:hAnsiTheme="majorHAnsi" w:cstheme="majorBidi"/>
      <w:color w:val="323E4F" w:themeColor="text2" w:themeShade="BF"/>
      <w:spacing w:val="5"/>
      <w:sz w:val="52"/>
      <w:szCs w:val="52"/>
    </w:rPr>
  </w:style>
  <w:style w:type="character" w:customStyle="1" w:styleId="Wyrnienie">
    <w:name w:val="Wyróżnienie"/>
    <w:basedOn w:val="Domylnaczcionkaakapitu"/>
    <w:uiPriority w:val="20"/>
    <w:qFormat/>
    <w:rsid w:val="00D1197D"/>
    <w:rPr>
      <w:i/>
      <w:iCs/>
    </w:rPr>
  </w:style>
  <w:style w:type="character" w:customStyle="1" w:styleId="czeinternetowe">
    <w:name w:val="Łącze internetowe"/>
    <w:basedOn w:val="Domylnaczcionkaakapitu"/>
    <w:uiPriority w:val="99"/>
    <w:unhideWhenUsed/>
    <w:rPr>
      <w:color w:val="0563C1" w:themeColor="hyperlink"/>
      <w:u w:val="single"/>
    </w:rPr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  <w:rPr>
      <w:rFonts w:cs="Lucida Sans"/>
    </w:rPr>
  </w:style>
  <w:style w:type="paragraph" w:styleId="Podpis">
    <w:name w:val="Signature"/>
    <w:basedOn w:val="Normalny"/>
    <w:pPr>
      <w:suppressLineNumbers/>
      <w:spacing w:before="120" w:after="120"/>
    </w:pPr>
    <w:rPr>
      <w:rFonts w:cs="Lucida Sans"/>
      <w:i/>
      <w:iCs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customStyle="1" w:styleId="Gwka">
    <w:name w:val="Główka"/>
    <w:basedOn w:val="Normalny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paragraph" w:styleId="Wcicienormalne">
    <w:name w:val="Normal Indent"/>
    <w:basedOn w:val="Normalny"/>
    <w:uiPriority w:val="99"/>
    <w:unhideWhenUsed/>
    <w:qFormat/>
    <w:rsid w:val="00841CD9"/>
    <w:pPr>
      <w:ind w:left="720"/>
    </w:pPr>
  </w:style>
  <w:style w:type="paragraph" w:styleId="Podtytu">
    <w:name w:val="Subtitle"/>
    <w:basedOn w:val="Normalny"/>
    <w:next w:val="Normalny"/>
    <w:link w:val="PodtytuZnak"/>
    <w:uiPriority w:val="11"/>
    <w:qFormat/>
    <w:rsid w:val="00841CD9"/>
    <w:p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paragraph" w:styleId="Tytu">
    <w:name w:val="Title"/>
    <w:basedOn w:val="Normalny"/>
    <w:next w:val="Normalny"/>
    <w:link w:val="TytuZnak"/>
    <w:uiPriority w:val="10"/>
    <w:qFormat/>
    <w:rsid w:val="00841CD9"/>
    <w:pPr>
      <w:pBdr>
        <w:bottom w:val="single" w:sz="8" w:space="4" w:color="4F81BD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sz w:val="52"/>
      <w:szCs w:val="52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7109C0"/>
    <w:pPr>
      <w:spacing w:line="240" w:lineRule="auto"/>
    </w:pPr>
    <w:rPr>
      <w:b/>
      <w:bCs/>
      <w:color w:val="4472C4" w:themeColor="accent1"/>
      <w:sz w:val="18"/>
      <w:szCs w:val="18"/>
    </w:rPr>
  </w:style>
  <w:style w:type="paragraph" w:customStyle="1" w:styleId="HeaderStyle">
    <w:name w:val="HeaderStyle"/>
    <w:qFormat/>
    <w:pPr>
      <w:suppressAutoHyphens/>
      <w:spacing w:after="200" w:line="240" w:lineRule="auto"/>
      <w:jc w:val="center"/>
    </w:pPr>
    <w:rPr>
      <w:rFonts w:ascii="Times New Roman" w:eastAsia="Times New Roman" w:hAnsi="Times New Roman" w:cs="Times New Roman"/>
      <w:b/>
      <w:color w:val="000000" w:themeColor="text1"/>
      <w:sz w:val="24"/>
    </w:rPr>
  </w:style>
  <w:style w:type="paragraph" w:customStyle="1" w:styleId="TitleStyle">
    <w:name w:val="TitleStyle"/>
    <w:qFormat/>
    <w:pPr>
      <w:suppressAutoHyphens/>
      <w:spacing w:after="200" w:line="240" w:lineRule="auto"/>
    </w:pPr>
    <w:rPr>
      <w:rFonts w:ascii="Times New Roman" w:eastAsia="Times New Roman" w:hAnsi="Times New Roman" w:cs="Times New Roman"/>
      <w:b/>
      <w:color w:val="000000" w:themeColor="text1"/>
      <w:sz w:val="24"/>
    </w:rPr>
  </w:style>
  <w:style w:type="paragraph" w:customStyle="1" w:styleId="TitleCenterStyle">
    <w:name w:val="TitleCenterStyle"/>
    <w:qFormat/>
    <w:pPr>
      <w:suppressAutoHyphens/>
      <w:spacing w:after="200" w:line="240" w:lineRule="auto"/>
      <w:jc w:val="center"/>
    </w:pPr>
    <w:rPr>
      <w:rFonts w:ascii="Times New Roman" w:eastAsia="Times New Roman" w:hAnsi="Times New Roman" w:cs="Times New Roman"/>
      <w:b/>
      <w:color w:val="000000" w:themeColor="text1"/>
      <w:sz w:val="24"/>
    </w:rPr>
  </w:style>
  <w:style w:type="paragraph" w:customStyle="1" w:styleId="NormalStyle">
    <w:name w:val="NormalStyle"/>
    <w:qFormat/>
    <w:pPr>
      <w:suppressAutoHyphens/>
      <w:spacing w:line="240" w:lineRule="auto"/>
    </w:pPr>
    <w:rPr>
      <w:rFonts w:ascii="Times New Roman" w:eastAsia="Times New Roman" w:hAnsi="Times New Roman" w:cs="Times New Roman"/>
      <w:color w:val="000000" w:themeColor="text1"/>
      <w:sz w:val="24"/>
    </w:rPr>
  </w:style>
  <w:style w:type="paragraph" w:customStyle="1" w:styleId="NormalSpacingStyle">
    <w:name w:val="NormalSpacingStyle"/>
    <w:qFormat/>
    <w:pPr>
      <w:suppressAutoHyphens/>
      <w:spacing w:after="200" w:line="240" w:lineRule="auto"/>
    </w:pPr>
    <w:rPr>
      <w:rFonts w:ascii="Times New Roman" w:eastAsia="Times New Roman" w:hAnsi="Times New Roman" w:cs="Times New Roman"/>
      <w:color w:val="000000" w:themeColor="text1"/>
      <w:sz w:val="24"/>
    </w:rPr>
  </w:style>
  <w:style w:type="paragraph" w:customStyle="1" w:styleId="BoldStyle">
    <w:name w:val="BoldStyle"/>
    <w:qFormat/>
    <w:pPr>
      <w:suppressAutoHyphens/>
      <w:spacing w:line="240" w:lineRule="auto"/>
    </w:pPr>
    <w:rPr>
      <w:rFonts w:ascii="Times New Roman" w:eastAsia="Times New Roman" w:hAnsi="Times New Roman" w:cs="Times New Roman"/>
      <w:b/>
      <w:color w:val="000000" w:themeColor="text1"/>
      <w:sz w:val="24"/>
    </w:rPr>
  </w:style>
  <w:style w:type="table" w:styleId="Tabela-Siatka">
    <w:name w:val="Table Grid"/>
    <w:basedOn w:val="Standardowy"/>
    <w:uiPriority w:val="59"/>
    <w:pPr>
      <w:spacing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rmalnyWeb">
    <w:name w:val="Normal (Web)"/>
    <w:basedOn w:val="Normalny"/>
    <w:uiPriority w:val="99"/>
    <w:semiHidden/>
    <w:unhideWhenUsed/>
    <w:rsid w:val="00C02832"/>
    <w:pPr>
      <w:suppressAutoHyphens w:val="0"/>
      <w:spacing w:before="100" w:beforeAutospacing="1" w:after="100" w:afterAutospacing="1" w:line="240" w:lineRule="auto"/>
    </w:pPr>
    <w:rPr>
      <w:color w:val="auto"/>
      <w:szCs w:val="24"/>
      <w:lang w:eastAsia="pl-PL" w:bidi="ar-SA"/>
    </w:rPr>
  </w:style>
  <w:style w:type="character" w:customStyle="1" w:styleId="text-justify">
    <w:name w:val="text-justify"/>
    <w:basedOn w:val="Domylnaczcionkaakapitu"/>
    <w:rsid w:val="00C02832"/>
  </w:style>
  <w:style w:type="character" w:styleId="Hipercze">
    <w:name w:val="Hyperlink"/>
    <w:basedOn w:val="Domylnaczcionkaakapitu"/>
    <w:uiPriority w:val="99"/>
    <w:semiHidden/>
    <w:unhideWhenUsed/>
    <w:rsid w:val="00C02832"/>
    <w:rPr>
      <w:color w:val="0000FF"/>
      <w:u w:val="single"/>
    </w:rPr>
  </w:style>
  <w:style w:type="character" w:styleId="Uwydatnienie">
    <w:name w:val="Emphasis"/>
    <w:basedOn w:val="Domylnaczcionkaakapitu"/>
    <w:uiPriority w:val="20"/>
    <w:qFormat/>
    <w:rsid w:val="00C0283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117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104266">
          <w:marLeft w:val="0"/>
          <w:marRight w:val="0"/>
          <w:marTop w:val="4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29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067712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sip.lex.pl/" TargetMode="External"/><Relationship Id="rId5" Type="http://schemas.openxmlformats.org/officeDocument/2006/relationships/hyperlink" Target="https://sip.lex.pl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392</Words>
  <Characters>2354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Nataliaz</dc:creator>
  <cp:lastModifiedBy>Agnieszkad</cp:lastModifiedBy>
  <cp:revision>3</cp:revision>
  <cp:lastPrinted>2022-04-13T12:42:00Z</cp:lastPrinted>
  <dcterms:created xsi:type="dcterms:W3CDTF">2022-04-13T12:58:00Z</dcterms:created>
  <dcterms:modified xsi:type="dcterms:W3CDTF">2022-04-14T07:16:00Z</dcterms:modified>
  <dc:language>pl-PL</dc:language>
</cp:coreProperties>
</file>