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453" w:rsidRDefault="00B34BF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Projekt 6/3</w:t>
      </w:r>
      <w:bookmarkStart w:id="0" w:name="_GoBack"/>
      <w:bookmarkEnd w:id="0"/>
    </w:p>
    <w:p w:rsidR="00AE6453" w:rsidRDefault="00B34BF4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 dnia 8 stycznia 2019 roku</w:t>
      </w:r>
    </w:p>
    <w:p w:rsidR="00AE6453" w:rsidRDefault="00AE6453">
      <w:pPr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</w:p>
    <w:p w:rsidR="00AE6453" w:rsidRDefault="00AE6453">
      <w:pPr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</w:p>
    <w:p w:rsidR="00AE6453" w:rsidRDefault="00B34BF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UCHWAŁA NR …./…./2019</w:t>
      </w:r>
    </w:p>
    <w:p w:rsidR="00AE6453" w:rsidRDefault="00B34BF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RADY MIEJSKIEJ W MROCZY</w:t>
      </w:r>
    </w:p>
    <w:p w:rsidR="00AE6453" w:rsidRDefault="00B34BF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z dnia ………….. 2019 r</w:t>
      </w:r>
      <w:r>
        <w:rPr>
          <w:rFonts w:ascii="Times New Roman" w:hAnsi="Times New Roman" w:cs="Times New Roman"/>
        </w:rPr>
        <w:t>.</w:t>
      </w:r>
    </w:p>
    <w:p w:rsidR="00AE6453" w:rsidRDefault="00AE6453">
      <w:pPr>
        <w:spacing w:after="0" w:line="240" w:lineRule="auto"/>
        <w:jc w:val="center"/>
        <w:rPr>
          <w:rFonts w:ascii="TimesNewRomanPSMT" w:hAnsi="TimesNewRomanPSMT" w:cs="TimesNewRomanPSMT"/>
        </w:rPr>
      </w:pPr>
    </w:p>
    <w:p w:rsidR="00AE6453" w:rsidRDefault="00B34BF4">
      <w:pPr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4"/>
        </w:rPr>
      </w:pPr>
      <w:r>
        <w:rPr>
          <w:rFonts w:ascii="TimesNewRomanPS-BoldMT" w:hAnsi="TimesNewRomanPS-BoldMT" w:cs="TimesNewRomanPS-BoldMT"/>
          <w:b/>
          <w:bCs/>
          <w:sz w:val="24"/>
        </w:rPr>
        <w:t>w sprawie określenia zasad zwrotu wydatków za świadczenia z pomocy społecznej</w:t>
      </w:r>
    </w:p>
    <w:p w:rsidR="00AE6453" w:rsidRDefault="00AE6453">
      <w:pPr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4"/>
        </w:rPr>
      </w:pP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 podstawie art. 18 ust. 2 pkt. 15 ustawy z dnia 8 marca 1990 r. o </w:t>
      </w:r>
      <w:r>
        <w:rPr>
          <w:rFonts w:ascii="Times New Roman" w:hAnsi="Times New Roman" w:cs="Times New Roman"/>
          <w:sz w:val="24"/>
        </w:rPr>
        <w:t>samorządzie gminnym (tj. Dz.U. z 2018 r., poz. 994 ze zm.</w:t>
      </w:r>
      <w:r>
        <w:rPr>
          <w:rStyle w:val="Zakotwiczenieprzypisudolnego"/>
          <w:rFonts w:ascii="Times New Roman" w:hAnsi="Times New Roman" w:cs="Times New Roman"/>
          <w:sz w:val="24"/>
        </w:rPr>
        <w:footnoteReference w:id="1"/>
      </w:r>
      <w:r>
        <w:rPr>
          <w:rFonts w:ascii="Times New Roman" w:hAnsi="Times New Roman" w:cs="Times New Roman"/>
          <w:sz w:val="24"/>
        </w:rPr>
        <w:t>), art. 43 ust.10 i art. 96 ust.4 ustawy z dnia 12 marca 2004 r. o pomocy społecznej (tj. Dz. U. z 2018 r., poz. 11508 ze zm.</w:t>
      </w:r>
      <w:r>
        <w:rPr>
          <w:rStyle w:val="Zakotwiczenieprzypisudolnego"/>
          <w:rFonts w:ascii="Times New Roman" w:hAnsi="Times New Roman" w:cs="Times New Roman"/>
          <w:sz w:val="24"/>
        </w:rPr>
        <w:footnoteReference w:id="2"/>
      </w:r>
      <w:r>
        <w:rPr>
          <w:rFonts w:ascii="Times New Roman" w:hAnsi="Times New Roman" w:cs="Times New Roman"/>
          <w:sz w:val="24"/>
        </w:rPr>
        <w:t>); uchwala się, co następuje:</w:t>
      </w:r>
    </w:p>
    <w:p w:rsidR="00AE6453" w:rsidRDefault="00AE6453">
      <w:pPr>
        <w:spacing w:after="0" w:line="240" w:lineRule="auto"/>
        <w:jc w:val="both"/>
        <w:rPr>
          <w:rFonts w:ascii="TimesNewRomanPSMT" w:hAnsi="TimesNewRomanPSMT" w:cs="TimesNewRomanPSMT"/>
          <w:sz w:val="24"/>
        </w:rPr>
      </w:pP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§ 1. </w:t>
      </w:r>
      <w:r>
        <w:rPr>
          <w:rFonts w:ascii="Times New Roman" w:hAnsi="Times New Roman" w:cs="Times New Roman"/>
          <w:sz w:val="24"/>
        </w:rPr>
        <w:t>1 Osobie lub rodzinie może być przyz</w:t>
      </w:r>
      <w:r>
        <w:rPr>
          <w:rFonts w:ascii="Times New Roman" w:hAnsi="Times New Roman" w:cs="Times New Roman"/>
          <w:sz w:val="24"/>
        </w:rPr>
        <w:t>nana pomoc w formie pieniężnej w celu ekonomicznego usamodzielnienia się.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Pomoc na ekonomiczne usamodzielnienie może być przyznana w formie jednorazowego zasiłku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celowego.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Przyznanie i wysokość zasiłku celowego na ekonomiczne usamodzielnienie uzależn</w:t>
      </w:r>
      <w:r>
        <w:rPr>
          <w:rFonts w:ascii="Times New Roman" w:hAnsi="Times New Roman" w:cs="Times New Roman"/>
          <w:sz w:val="24"/>
        </w:rPr>
        <w:t>ione jest od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możliwości finansowych gminy.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Pomoc, o której mowa w ust.3 nie może być wyższa niż minimalne wynagrodzenie za pracę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obowiązujące w danym roku.</w:t>
      </w:r>
    </w:p>
    <w:p w:rsidR="00AE6453" w:rsidRDefault="00AE645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§ 2. </w:t>
      </w:r>
      <w:r>
        <w:rPr>
          <w:rFonts w:ascii="Times New Roman" w:hAnsi="Times New Roman" w:cs="Times New Roman"/>
          <w:sz w:val="24"/>
        </w:rPr>
        <w:t>Ustala się zasady zwrotu wydatków na: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usługi,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pomoc rzeczową,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zasiłki na </w:t>
      </w:r>
      <w:r>
        <w:rPr>
          <w:rFonts w:ascii="Times New Roman" w:hAnsi="Times New Roman" w:cs="Times New Roman"/>
          <w:sz w:val="24"/>
        </w:rPr>
        <w:t>ekonomiczne usamodzielnienie,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zasiłki okresowe,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zasiłki celowe</w:t>
      </w:r>
    </w:p>
    <w:p w:rsidR="00AE6453" w:rsidRDefault="00AE645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§ 3. </w:t>
      </w:r>
      <w:r>
        <w:rPr>
          <w:rFonts w:ascii="Times New Roman" w:hAnsi="Times New Roman" w:cs="Times New Roman"/>
          <w:sz w:val="24"/>
        </w:rPr>
        <w:t>Obowiązani do zwrotu wydatków, o których mowa w § 2 są: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osoba i rodzina korzystająca ze świadczeń z pomocy społecznej,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spadkobiercy osoby, która korzystała ze świadczeń z </w:t>
      </w:r>
      <w:r>
        <w:rPr>
          <w:rFonts w:ascii="Times New Roman" w:hAnsi="Times New Roman" w:cs="Times New Roman"/>
          <w:sz w:val="24"/>
        </w:rPr>
        <w:t>pomocy społecznej,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małżonek, zstępni przed wstępnymi osoby korzystającej ze świadczeń z pomocy społecznej jedynie gdy, nie dokonano zwrotu wydatków zgodnie z pkt 1 i 2, w wysokości przewidzianej w decyzji dla osoby lub rodziny korzystającej ze świadczeń</w:t>
      </w:r>
      <w:r>
        <w:rPr>
          <w:rFonts w:ascii="Times New Roman" w:hAnsi="Times New Roman" w:cs="Times New Roman"/>
          <w:sz w:val="24"/>
        </w:rPr>
        <w:t xml:space="preserve"> z pomocy społecznej.</w:t>
      </w:r>
    </w:p>
    <w:p w:rsidR="00AE6453" w:rsidRDefault="00AE645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§ 4. </w:t>
      </w:r>
      <w:r>
        <w:rPr>
          <w:rFonts w:ascii="Times New Roman" w:hAnsi="Times New Roman" w:cs="Times New Roman"/>
          <w:sz w:val="24"/>
        </w:rPr>
        <w:t>Kryterium zwrotu ustala się według kryterium dochodowego ustawy o pomocy społecznej określone w art.8 ust.1 o pomocy społecznej.</w:t>
      </w:r>
    </w:p>
    <w:p w:rsidR="00AE6453" w:rsidRDefault="00AE645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lastRenderedPageBreak/>
        <w:t xml:space="preserve">§ 5. </w:t>
      </w:r>
      <w:r>
        <w:rPr>
          <w:rFonts w:ascii="Times New Roman" w:hAnsi="Times New Roman" w:cs="Times New Roman"/>
          <w:sz w:val="24"/>
        </w:rPr>
        <w:t>Szczegółowe zasady zwrotu wydatków, o których mowa w § 2 określa poniższa tabela:</w:t>
      </w:r>
    </w:p>
    <w:p w:rsidR="00AE6453" w:rsidRDefault="00AE645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E6453">
        <w:tc>
          <w:tcPr>
            <w:tcW w:w="3020" w:type="dxa"/>
            <w:shd w:val="clear" w:color="auto" w:fill="auto"/>
          </w:tcPr>
          <w:p w:rsidR="00AE6453" w:rsidRDefault="00B34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Wysokość k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ryterium</w:t>
            </w:r>
          </w:p>
          <w:p w:rsidR="00AE6453" w:rsidRDefault="00B34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dochodowego określonego</w:t>
            </w:r>
          </w:p>
          <w:p w:rsidR="00AE6453" w:rsidRDefault="00B34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 art.8 ust.1 ustawy o pomocy społecznej</w:t>
            </w:r>
          </w:p>
        </w:tc>
        <w:tc>
          <w:tcPr>
            <w:tcW w:w="3021" w:type="dxa"/>
            <w:shd w:val="clear" w:color="auto" w:fill="auto"/>
          </w:tcPr>
          <w:p w:rsidR="00AE6453" w:rsidRDefault="00B34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Wysokość zwrotu liczona w % od wysokości wydatku dla osoby samotnie gospodarującej</w:t>
            </w:r>
          </w:p>
        </w:tc>
        <w:tc>
          <w:tcPr>
            <w:tcW w:w="3021" w:type="dxa"/>
            <w:shd w:val="clear" w:color="auto" w:fill="auto"/>
          </w:tcPr>
          <w:p w:rsidR="00AE6453" w:rsidRDefault="00B34B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Wysokość zwrotu liczona w % od wysokości wydatku dla osoby w rodzinie</w:t>
            </w:r>
          </w:p>
        </w:tc>
      </w:tr>
      <w:tr w:rsidR="00AE6453">
        <w:trPr>
          <w:trHeight w:val="299"/>
        </w:trPr>
        <w:tc>
          <w:tcPr>
            <w:tcW w:w="3020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 100%</w:t>
            </w:r>
          </w:p>
        </w:tc>
        <w:tc>
          <w:tcPr>
            <w:tcW w:w="3021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Pomoc bezzwrotna </w:t>
            </w:r>
          </w:p>
        </w:tc>
        <w:tc>
          <w:tcPr>
            <w:tcW w:w="3021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Pomoc bezzwrotna </w:t>
            </w:r>
          </w:p>
        </w:tc>
      </w:tr>
      <w:tr w:rsidR="00AE6453">
        <w:tc>
          <w:tcPr>
            <w:tcW w:w="3020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Powyżej 100%-130% </w:t>
            </w:r>
          </w:p>
        </w:tc>
        <w:tc>
          <w:tcPr>
            <w:tcW w:w="3021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  <w:tc>
          <w:tcPr>
            <w:tcW w:w="3021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30 %</w:t>
            </w:r>
          </w:p>
        </w:tc>
      </w:tr>
      <w:tr w:rsidR="00AE6453">
        <w:tc>
          <w:tcPr>
            <w:tcW w:w="3020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Powyżej 130%-160% </w:t>
            </w:r>
          </w:p>
        </w:tc>
        <w:tc>
          <w:tcPr>
            <w:tcW w:w="3021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40 %</w:t>
            </w:r>
          </w:p>
        </w:tc>
        <w:tc>
          <w:tcPr>
            <w:tcW w:w="3021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50 %</w:t>
            </w:r>
          </w:p>
        </w:tc>
      </w:tr>
      <w:tr w:rsidR="00AE6453">
        <w:tc>
          <w:tcPr>
            <w:tcW w:w="3020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Powyżej 160%-190% </w:t>
            </w:r>
          </w:p>
        </w:tc>
        <w:tc>
          <w:tcPr>
            <w:tcW w:w="3021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60 %</w:t>
            </w:r>
          </w:p>
        </w:tc>
        <w:tc>
          <w:tcPr>
            <w:tcW w:w="3021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70 %</w:t>
            </w:r>
          </w:p>
        </w:tc>
      </w:tr>
      <w:tr w:rsidR="00AE6453">
        <w:tc>
          <w:tcPr>
            <w:tcW w:w="3020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Powyżej 190%-220%  </w:t>
            </w:r>
          </w:p>
        </w:tc>
        <w:tc>
          <w:tcPr>
            <w:tcW w:w="3021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80 %</w:t>
            </w:r>
          </w:p>
        </w:tc>
        <w:tc>
          <w:tcPr>
            <w:tcW w:w="3021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</w:tc>
      </w:tr>
      <w:tr w:rsidR="00AE6453">
        <w:tc>
          <w:tcPr>
            <w:tcW w:w="3020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Powyżej 220% </w:t>
            </w:r>
          </w:p>
        </w:tc>
        <w:tc>
          <w:tcPr>
            <w:tcW w:w="3021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</w:tc>
        <w:tc>
          <w:tcPr>
            <w:tcW w:w="3021" w:type="dxa"/>
            <w:shd w:val="clear" w:color="auto" w:fill="auto"/>
          </w:tcPr>
          <w:p w:rsidR="00AE6453" w:rsidRDefault="00B34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</w:tc>
      </w:tr>
    </w:tbl>
    <w:p w:rsidR="00AE6453" w:rsidRDefault="00AE64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6453" w:rsidRDefault="00AE645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6. </w:t>
      </w:r>
      <w:r>
        <w:rPr>
          <w:rFonts w:ascii="Times New Roman" w:hAnsi="Times New Roman" w:cs="Times New Roman"/>
          <w:sz w:val="24"/>
          <w:szCs w:val="24"/>
        </w:rPr>
        <w:t>Osoby zobowiązane wnoszą zwrot świadczenia z pomocy społecznej zgodnie z terminem</w:t>
      </w:r>
      <w:r>
        <w:rPr>
          <w:rFonts w:ascii="Times New Roman" w:hAnsi="Times New Roman" w:cs="Times New Roman"/>
          <w:sz w:val="24"/>
          <w:szCs w:val="24"/>
        </w:rPr>
        <w:t xml:space="preserve"> i sposobem określonym w decyzji wydanej przez Dyrektora Miejsko-Gminnego Ośrodka Pomocy Społecznej w Mroczy.</w:t>
      </w:r>
    </w:p>
    <w:p w:rsidR="00AE6453" w:rsidRDefault="00AE64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7. </w:t>
      </w:r>
      <w:r>
        <w:rPr>
          <w:rFonts w:ascii="Times New Roman" w:hAnsi="Times New Roman" w:cs="Times New Roman"/>
          <w:sz w:val="24"/>
          <w:szCs w:val="24"/>
        </w:rPr>
        <w:t>1 Osoby zobowiązane, o których mowa w § 3, można na ich wniosek częściowo lub całkowicie zwolnić od obowiązku zwrotu wydatków za świadczenia</w:t>
      </w:r>
      <w:r>
        <w:rPr>
          <w:rFonts w:ascii="Times New Roman" w:hAnsi="Times New Roman" w:cs="Times New Roman"/>
          <w:sz w:val="24"/>
          <w:szCs w:val="24"/>
        </w:rPr>
        <w:t xml:space="preserve"> z pomocy społecznej, gdy występują uzasadnione okoliczności, w szczególności: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długotrwałe bezrobocie,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konieczność ponoszenia opłat za pobyt członka rodziny m.in. w domu pomocy społecznej, placówce opiekuńczo-wychowawczej, ośrodku wsparcia,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długot</w:t>
      </w:r>
      <w:r>
        <w:rPr>
          <w:rFonts w:ascii="Times New Roman" w:hAnsi="Times New Roman" w:cs="Times New Roman"/>
          <w:sz w:val="24"/>
          <w:szCs w:val="24"/>
        </w:rPr>
        <w:t>rwała lub ciężka choroba,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bezradność w prowadzeniu gospodarstwa domowego,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ochrona macierzyństwa lub wielodzietność,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powstałe straty w wyniku zdarzeń losowych lub klęski żywiołowej.</w:t>
      </w:r>
    </w:p>
    <w:p w:rsidR="00AE6453" w:rsidRDefault="00AE64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Decyzje o zwolnieniu od obowiązku zwrotu wydatków za </w:t>
      </w:r>
      <w:r>
        <w:rPr>
          <w:rFonts w:ascii="Times New Roman" w:hAnsi="Times New Roman" w:cs="Times New Roman"/>
          <w:sz w:val="24"/>
          <w:szCs w:val="24"/>
        </w:rPr>
        <w:t>świadczenia z pomocy społecznej wydaje Dyrektor Miejsko-Gminnego Ośrodka Pomocy Społecznej w Mroczy.</w:t>
      </w:r>
    </w:p>
    <w:p w:rsidR="00AE6453" w:rsidRDefault="00AE64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8. </w:t>
      </w:r>
      <w:r>
        <w:rPr>
          <w:rFonts w:ascii="Times New Roman" w:hAnsi="Times New Roman" w:cs="Times New Roman"/>
          <w:sz w:val="24"/>
          <w:szCs w:val="24"/>
        </w:rPr>
        <w:t>Wykonanie uchwały powierza się Burmistrzowi Miasta i Gminy Mrocza.</w:t>
      </w:r>
    </w:p>
    <w:p w:rsidR="00AE6453" w:rsidRDefault="00AE64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9. </w:t>
      </w:r>
      <w:r>
        <w:rPr>
          <w:rFonts w:ascii="Times New Roman" w:hAnsi="Times New Roman" w:cs="Times New Roman"/>
          <w:sz w:val="24"/>
          <w:szCs w:val="24"/>
        </w:rPr>
        <w:t>Uchwała podlega ogłoszeniu w Dzienniku Urzędowym Województwa Kujawsko-Pomors</w:t>
      </w:r>
      <w:r>
        <w:rPr>
          <w:rFonts w:ascii="Times New Roman" w:hAnsi="Times New Roman" w:cs="Times New Roman"/>
          <w:sz w:val="24"/>
          <w:szCs w:val="24"/>
        </w:rPr>
        <w:t>kiego i wchodzi w życie po upływie 14 dni od dnia ogłoszenia.</w:t>
      </w:r>
    </w:p>
    <w:p w:rsidR="00AE6453" w:rsidRDefault="00AE64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453" w:rsidRDefault="00AE64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6453" w:rsidRDefault="00AE6453">
      <w:pPr>
        <w:jc w:val="center"/>
        <w:rPr>
          <w:rFonts w:ascii="Times New Roman" w:hAnsi="Times New Roman" w:cs="Times New Roman"/>
          <w:b/>
        </w:rPr>
      </w:pPr>
    </w:p>
    <w:p w:rsidR="00AE6453" w:rsidRDefault="00AE6453">
      <w:pPr>
        <w:jc w:val="center"/>
        <w:rPr>
          <w:rFonts w:ascii="Times New Roman" w:hAnsi="Times New Roman" w:cs="Times New Roman"/>
          <w:b/>
        </w:rPr>
      </w:pPr>
    </w:p>
    <w:p w:rsidR="00AE6453" w:rsidRDefault="00AE6453">
      <w:pPr>
        <w:jc w:val="center"/>
        <w:rPr>
          <w:rFonts w:ascii="Times New Roman" w:hAnsi="Times New Roman" w:cs="Times New Roman"/>
          <w:b/>
        </w:rPr>
      </w:pPr>
    </w:p>
    <w:p w:rsidR="00AE6453" w:rsidRDefault="00AE6453">
      <w:pPr>
        <w:jc w:val="center"/>
        <w:rPr>
          <w:rFonts w:ascii="Times New Roman" w:hAnsi="Times New Roman" w:cs="Times New Roman"/>
          <w:b/>
        </w:rPr>
      </w:pPr>
    </w:p>
    <w:p w:rsidR="00AE6453" w:rsidRDefault="00AE6453">
      <w:pPr>
        <w:jc w:val="center"/>
        <w:rPr>
          <w:rFonts w:ascii="Times New Roman" w:hAnsi="Times New Roman" w:cs="Times New Roman"/>
          <w:b/>
        </w:rPr>
      </w:pPr>
    </w:p>
    <w:p w:rsidR="00AE6453" w:rsidRDefault="00AE6453">
      <w:pPr>
        <w:jc w:val="center"/>
        <w:rPr>
          <w:rFonts w:ascii="Times New Roman" w:hAnsi="Times New Roman" w:cs="Times New Roman"/>
          <w:b/>
        </w:rPr>
      </w:pPr>
    </w:p>
    <w:p w:rsidR="00AE6453" w:rsidRDefault="00AE6453">
      <w:pPr>
        <w:jc w:val="center"/>
        <w:rPr>
          <w:rFonts w:ascii="Times New Roman" w:hAnsi="Times New Roman" w:cs="Times New Roman"/>
          <w:b/>
          <w:sz w:val="24"/>
        </w:rPr>
      </w:pPr>
    </w:p>
    <w:p w:rsidR="00AE6453" w:rsidRDefault="00AE6453">
      <w:pPr>
        <w:jc w:val="center"/>
        <w:rPr>
          <w:rFonts w:ascii="Times New Roman" w:hAnsi="Times New Roman" w:cs="Times New Roman"/>
          <w:b/>
          <w:sz w:val="24"/>
        </w:rPr>
      </w:pPr>
    </w:p>
    <w:p w:rsidR="00AE6453" w:rsidRDefault="00B34BF4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UZASADNIENIE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 art.96 ust. 4ustawy o pomocy społecznej z dnia 12 marca 2004 roku wynika, że Rada gminy określa zasady zwrotu wydatków za świadczenia z pomocy społecznej tj. usługi, </w:t>
      </w:r>
      <w:r>
        <w:rPr>
          <w:rFonts w:ascii="Times New Roman" w:hAnsi="Times New Roman" w:cs="Times New Roman"/>
          <w:sz w:val="24"/>
        </w:rPr>
        <w:t>pomoc rzeczowa, zasiłki na ekonomiczne usamodzielnienie zasiłki okresowe i celowe w przypadku, jeżeli dochód na osobę w rodzinie osoby zobowiązanej do zwrotu przekracza kryterium dochodowe.</w:t>
      </w:r>
    </w:p>
    <w:p w:rsidR="00AE6453" w:rsidRDefault="00B34BF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Mając powyższe na uwadze przedłożony projekt pozwoli na skorzystan</w:t>
      </w:r>
      <w:r>
        <w:rPr>
          <w:rFonts w:ascii="Times New Roman" w:hAnsi="Times New Roman" w:cs="Times New Roman"/>
          <w:sz w:val="24"/>
        </w:rPr>
        <w:t>ie z pomocy zwrotnej również osobom o niskich dochodach.</w:t>
      </w:r>
    </w:p>
    <w:p w:rsidR="00AE6453" w:rsidRDefault="00AE6453">
      <w:pPr>
        <w:spacing w:after="0" w:line="240" w:lineRule="auto"/>
        <w:jc w:val="both"/>
      </w:pPr>
    </w:p>
    <w:sectPr w:rsidR="00AE6453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34BF4">
      <w:pPr>
        <w:spacing w:after="0" w:line="240" w:lineRule="auto"/>
      </w:pPr>
      <w:r>
        <w:separator/>
      </w:r>
    </w:p>
  </w:endnote>
  <w:endnote w:type="continuationSeparator" w:id="0">
    <w:p w:rsidR="00000000" w:rsidRDefault="00B34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Arial"/>
    <w:charset w:val="01"/>
    <w:family w:val="swiss"/>
    <w:pitch w:val="default"/>
  </w:font>
  <w:font w:name="TimesNewRomanPSMT">
    <w:altName w:val="Arial"/>
    <w:charset w:val="01"/>
    <w:family w:val="swiss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453" w:rsidRDefault="00B34BF4">
      <w:r>
        <w:separator/>
      </w:r>
    </w:p>
  </w:footnote>
  <w:footnote w:type="continuationSeparator" w:id="0">
    <w:p w:rsidR="00AE6453" w:rsidRDefault="00B34BF4">
      <w:r>
        <w:continuationSeparator/>
      </w:r>
    </w:p>
  </w:footnote>
  <w:footnote w:id="1">
    <w:p w:rsidR="00AE6453" w:rsidRDefault="00B34BF4">
      <w:pPr>
        <w:pStyle w:val="Tekstprzypisudolnego"/>
        <w:rPr>
          <w:rFonts w:ascii="Times New Roman" w:hAnsi="Times New Roman" w:cs="Times New Roman"/>
        </w:rPr>
      </w:pPr>
      <w:r>
        <w:rPr>
          <w:rStyle w:val="Znakiprzypiswdolnych"/>
        </w:rPr>
        <w:footnoteRef/>
      </w:r>
      <w:r>
        <w:rPr>
          <w:rFonts w:ascii="Times New Roman" w:hAnsi="Times New Roman" w:cs="Times New Roman"/>
        </w:rPr>
        <w:t xml:space="preserve"> Zmiany tekstu jednolitego wymienionej ustawy zostały ogłoszone w Dz.U. z 2018 roku pod poz. 994, poz. 1000, poz.1349, poz.</w:t>
      </w:r>
      <w:r>
        <w:rPr>
          <w:rFonts w:ascii="Times New Roman" w:hAnsi="Times New Roman" w:cs="Times New Roman"/>
        </w:rPr>
        <w:t xml:space="preserve"> 1432 i poz. 2500.</w:t>
      </w:r>
    </w:p>
    <w:p w:rsidR="00AE6453" w:rsidRDefault="00AE6453">
      <w:pPr>
        <w:pStyle w:val="Tekstprzypisudolnego"/>
      </w:pPr>
    </w:p>
  </w:footnote>
  <w:footnote w:id="2">
    <w:p w:rsidR="00AE6453" w:rsidRDefault="00B34BF4">
      <w:pPr>
        <w:pStyle w:val="Tekstprzypisudolnego"/>
        <w:rPr>
          <w:rFonts w:ascii="Times New Roman" w:hAnsi="Times New Roman" w:cs="Times New Roman"/>
        </w:rPr>
      </w:pPr>
      <w:r>
        <w:rPr>
          <w:rStyle w:val="Znakiprzypiswdolnych"/>
        </w:rPr>
        <w:footnoteRef/>
      </w:r>
      <w:r>
        <w:rPr>
          <w:rFonts w:ascii="Times New Roman" w:hAnsi="Times New Roman" w:cs="Times New Roman"/>
        </w:rPr>
        <w:t xml:space="preserve"> Zmiany tekstu jednolitego wymienionej ustawy zostały ogłoszone w Dz.U. z 2018 roku pod poz. 1508, poz. 1693, poz. 2192, poz. 2245, poz. 2354 i poz. 2529.</w:t>
      </w:r>
    </w:p>
    <w:p w:rsidR="00AE6453" w:rsidRDefault="00AE6453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453"/>
    <w:rsid w:val="00AE6453"/>
    <w:rsid w:val="00B34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85407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85407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Arial" w:hAnsi="Arial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5407"/>
    <w:pPr>
      <w:spacing w:after="0" w:line="240" w:lineRule="auto"/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F23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85407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85407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Arial" w:hAnsi="Arial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5407"/>
    <w:pPr>
      <w:spacing w:after="0" w:line="240" w:lineRule="auto"/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F23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45725-9505-43C4-9633-31990FFD8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553</Words>
  <Characters>3320</Characters>
  <Application>Microsoft Office Word</Application>
  <DocSecurity>0</DocSecurity>
  <Lines>27</Lines>
  <Paragraphs>7</Paragraphs>
  <ScaleCrop>false</ScaleCrop>
  <Company/>
  <LinksUpToDate>false</LinksUpToDate>
  <CharactersWithSpaces>3866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Agnieszkad</cp:lastModifiedBy>
  <cp:revision>7</cp:revision>
  <cp:lastPrinted>2019-01-08T08:16:00Z</cp:lastPrinted>
  <dcterms:created xsi:type="dcterms:W3CDTF">2019-01-07T23:35:00Z</dcterms:created>
  <dcterms:modified xsi:type="dcterms:W3CDTF">2019-01-15T12:10:00Z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