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b/>
          <w:sz w:val="24"/>
          <w:szCs w:val="24"/>
        </w:rPr>
        <w:t xml:space="preserve">Sprawozdanie  z realizacji Programu współpracy Gminy Mrocza z organizacjami pozarządowymi oraz innymi podmiotami prowadzącymi działalność pożytku publicznego, o których mowa 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w art. 3 ust.3 ustawy z dnia 24 kwietnia 2003r.                                o działalności pożytku publicznego i o wolontariacie w </w:t>
      </w:r>
      <w:r>
        <w:rPr>
          <w:rFonts w:ascii="Times New Roman" w:cs="Times New Roman" w:hAnsi="Times New Roman"/>
          <w:b/>
          <w:sz w:val="24"/>
          <w:szCs w:val="24"/>
        </w:rPr>
        <w:t xml:space="preserve"> 2013 roku </w:t>
      </w:r>
    </w:p>
    <w:p>
      <w:pPr>
        <w:pStyle w:val="style0"/>
        <w:jc w:val="center"/>
      </w:pPr>
      <w:r>
        <w:rPr/>
      </w:r>
    </w:p>
    <w:p>
      <w:pPr>
        <w:pStyle w:val="style0"/>
        <w:spacing w:after="0" w:before="240" w:line="360" w:lineRule="auto"/>
        <w:ind w:firstLine="708" w:left="0" w:right="0"/>
        <w:jc w:val="both"/>
      </w:pPr>
      <w:r>
        <w:rPr>
          <w:rFonts w:ascii="Times New Roman" w:cs="Times New Roman" w:hAnsi="Times New Roman"/>
          <w:sz w:val="24"/>
          <w:szCs w:val="24"/>
        </w:rPr>
        <w:t>„</w:t>
      </w:r>
      <w:r>
        <w:rPr>
          <w:rFonts w:ascii="Times New Roman" w:cs="Times New Roman" w:hAnsi="Times New Roman"/>
          <w:sz w:val="24"/>
          <w:szCs w:val="24"/>
        </w:rPr>
        <w:t>Program współpracy Gminy Mrocza</w:t>
      </w:r>
      <w:r>
        <w:rPr>
          <w:rFonts w:ascii="Times New Roman" w:cs="Times New Roman" w:eastAsia="Calibri" w:hAnsi="Times New Roman"/>
          <w:sz w:val="24"/>
          <w:szCs w:val="24"/>
        </w:rPr>
        <w:t xml:space="preserve"> z organizacjami pozarządowymi oraz innymi podmiotami prowadzącymi działalność pożytku publicznego, o których mowa w art. 3 ust.3 ustawy z dnia 24 kwietnia 2003r. o działalności pożytku publicznego i o wolontariacie na rok 2013” został przyjęty </w:t>
      </w:r>
      <w:r>
        <w:rPr>
          <w:rFonts w:ascii="Times New Roman" w:cs="Times New Roman" w:hAnsi="Times New Roman"/>
          <w:sz w:val="24"/>
          <w:szCs w:val="24"/>
        </w:rPr>
        <w:t xml:space="preserve">Uchwałą Nr XXX/253/2012  Rady Miejskiej w Mroczy z dnia 14 grudnia 2012r. Projekt Programu został wcześniej skonsultowany z organizacjami pozarządowymi poprzez przesłanie wszystkim organizacjom działającym na terenie Miasta  i Gminy Mrocza projektu uchwały w w/w  sprawie. Nie wniesiono uwag do proponowanego projektu. </w:t>
      </w:r>
    </w:p>
    <w:p>
      <w:pPr>
        <w:pStyle w:val="style0"/>
        <w:tabs>
          <w:tab w:leader="none" w:pos="330" w:val="left"/>
          <w:tab w:leader="none" w:pos="345" w:val="left"/>
          <w:tab w:leader="none" w:pos="708" w:val="left"/>
        </w:tabs>
        <w:suppressAutoHyphens w:val="true"/>
        <w:spacing w:after="0" w:before="0" w:line="100" w:lineRule="atLeast"/>
      </w:pPr>
      <w:r>
        <w:rPr/>
      </w:r>
    </w:p>
    <w:p>
      <w:pPr>
        <w:pStyle w:val="style0"/>
        <w:tabs>
          <w:tab w:leader="none" w:pos="708" w:val="left"/>
          <w:tab w:leader="none" w:pos="1080" w:val="left"/>
          <w:tab w:leader="none" w:pos="1800" w:val="left"/>
        </w:tabs>
        <w:spacing w:line="360" w:lineRule="auto"/>
      </w:pPr>
      <w:r>
        <w:rPr>
          <w:rFonts w:ascii="Times New Roman" w:cs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Formy współpracy Gminy Mrocza z organizacjami pozarządowymi w 2013r.: </w:t>
      </w:r>
    </w:p>
    <w:p>
      <w:pPr>
        <w:pStyle w:val="style63"/>
        <w:numPr>
          <w:ilvl w:val="0"/>
          <w:numId w:val="3"/>
        </w:numPr>
        <w:tabs>
          <w:tab w:leader="none" w:pos="1428" w:val="left"/>
          <w:tab w:leader="none" w:pos="2148" w:val="left"/>
          <w:tab w:leader="none" w:pos="2868" w:val="left"/>
          <w:tab w:leader="none" w:pos="3588" w:val="left"/>
          <w:tab w:leader="none" w:pos="4308" w:val="left"/>
          <w:tab w:leader="none" w:pos="5040" w:val="left"/>
        </w:tabs>
        <w:spacing w:line="100" w:lineRule="atLeast"/>
        <w:jc w:val="both"/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Współpraca finansowa  </w:t>
      </w:r>
    </w:p>
    <w:p>
      <w:pPr>
        <w:pStyle w:val="style63"/>
        <w:tabs>
          <w:tab w:leader="none" w:pos="1488" w:val="left"/>
          <w:tab w:leader="none" w:pos="2268" w:val="left"/>
          <w:tab w:leader="none" w:pos="3048" w:val="left"/>
          <w:tab w:leader="none" w:pos="3828" w:val="left"/>
          <w:tab w:leader="none" w:pos="4608" w:val="left"/>
          <w:tab w:leader="none" w:pos="5400" w:val="left"/>
        </w:tabs>
        <w:spacing w:line="100" w:lineRule="atLeast"/>
        <w:ind w:hanging="0" w:left="780" w:right="0"/>
        <w:jc w:val="both"/>
      </w:pPr>
      <w:r>
        <w:rPr/>
      </w:r>
    </w:p>
    <w:p>
      <w:pPr>
        <w:pStyle w:val="style0"/>
        <w:numPr>
          <w:ilvl w:val="0"/>
          <w:numId w:val="4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Ogłoszono konkurs na wykonanie zadania publicznego w zakresie wspierania i upowszechniania kultury fizycznej i sportu w Gminie Mrocza w 2013 roku przez organizacje prowadzące działalność pożytku publicznego.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Do konkursu zgłosiła się jedna organizacja pozarządowa- MGLKS „TARPAN” Mrocza. </w:t>
        <w:br/>
        <w:t xml:space="preserve">W związku z pozytywną oceną formalno- merytoryczną komisji powołanej w sprawie oceny i wyboru ofert z dnia 26.02.2013r. dofinansowanie w kwocie 82 500 zł zostało przyznane </w:t>
        <w:br/>
        <w:t xml:space="preserve">MGLKS „TARPAN” Mrocza. 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Zadanie </w:t>
      </w:r>
      <w:r>
        <w:rPr>
          <w:rFonts w:ascii="Times New Roman" w:cs="Times New Roman" w:eastAsia="Calibri" w:hAnsi="Times New Roman"/>
          <w:sz w:val="24"/>
          <w:szCs w:val="24"/>
        </w:rPr>
        <w:t>o tytule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</w:rPr>
        <w:t xml:space="preserve">„Szkolenie dzieci i młodzieży w zakresie sportu oraz organizowanie masowych imprez sportowych” </w:t>
      </w:r>
      <w:r>
        <w:rPr>
          <w:rFonts w:ascii="Times New Roman" w:hAnsi="Times New Roman"/>
          <w:sz w:val="24"/>
          <w:szCs w:val="24"/>
        </w:rPr>
        <w:t xml:space="preserve"> zostało zrealizowane przez </w:t>
      </w:r>
      <w:r>
        <w:rPr>
          <w:rFonts w:ascii="Times New Roman" w:cs="Times New Roman" w:eastAsia="Calibri" w:hAnsi="Times New Roman"/>
          <w:sz w:val="24"/>
          <w:szCs w:val="24"/>
        </w:rPr>
        <w:t xml:space="preserve">MGLKS „TARPAN” Mrocza. Kwota przyznana na zrealizowanie zadania to 82 500 zł </w:t>
      </w:r>
    </w:p>
    <w:p>
      <w:pPr>
        <w:pStyle w:val="style0"/>
        <w:spacing w:line="360" w:lineRule="auto"/>
        <w:ind w:hanging="0" w:left="426" w:right="0"/>
        <w:jc w:val="both"/>
      </w:pPr>
      <w:r>
        <w:rPr>
          <w:rFonts w:ascii="Times New Roman" w:cs="Times New Roman" w:eastAsia="Calibri" w:hAnsi="Times New Roman"/>
          <w:sz w:val="24"/>
          <w:szCs w:val="24"/>
        </w:rPr>
        <w:t>Zadanie miało na celu poprawę warunków uprawiania sportu przez zawodników, osiągnięcie wysokich wyników sportowych  oraz organizację i udział w zawodach                  i rozgrywkach sportowych. W ramach realizowanego zadania odbywały się treningi                 w następujących dziedzinach sportowych: piłka nożna, podnoszenie ciężarów, brydż sportowy.</w:t>
      </w:r>
    </w:p>
    <w:p>
      <w:pPr>
        <w:pStyle w:val="style0"/>
      </w:pPr>
      <w:r>
        <w:rPr>
          <w:rFonts w:ascii="Times New Roman" w:cs="Times New Roman" w:hAnsi="Times New Roman"/>
          <w:b/>
          <w:sz w:val="24"/>
          <w:szCs w:val="24"/>
        </w:rPr>
        <w:t>Imprezy organizowane przez organizacje pozarządowe z terenu Gminy Mrocza</w:t>
      </w:r>
    </w:p>
    <w:tbl>
      <w:tblPr>
        <w:jc w:val="left"/>
        <w:tblInd w:type="dxa" w:w="-708"/>
        <w:tblBorders>
          <w:top w:color="000001" w:space="0" w:sz="2" w:val="single"/>
          <w:left w:color="000001" w:space="0" w:sz="2" w:val="single"/>
          <w:bottom w:color="000001" w:space="0" w:sz="2" w:val="single"/>
        </w:tblBorders>
      </w:tblPr>
      <w:tblGrid>
        <w:gridCol w:w="699"/>
        <w:gridCol w:w="2782"/>
        <w:gridCol w:w="3667"/>
        <w:gridCol w:w="2201"/>
      </w:tblGrid>
      <w:tr>
        <w:trPr>
          <w:cantSplit w:val="false"/>
        </w:trPr>
        <w:tc>
          <w:tcPr>
            <w:tcW w:type="dxa" w:w="699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  <w:sz w:val="24"/>
                <w:szCs w:val="24"/>
              </w:rPr>
              <w:t>L.p.</w:t>
            </w:r>
          </w:p>
        </w:tc>
        <w:tc>
          <w:tcPr>
            <w:tcW w:type="dxa" w:w="2782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  <w:sz w:val="24"/>
                <w:szCs w:val="24"/>
              </w:rPr>
              <w:t>Organizator</w:t>
            </w:r>
          </w:p>
        </w:tc>
        <w:tc>
          <w:tcPr>
            <w:tcW w:type="dxa" w:w="3667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  <w:sz w:val="24"/>
                <w:szCs w:val="24"/>
              </w:rPr>
              <w:t>Nazwa imprezy</w:t>
            </w:r>
          </w:p>
        </w:tc>
        <w:tc>
          <w:tcPr>
            <w:tcW w:type="dxa" w:w="220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  <w:sz w:val="24"/>
                <w:szCs w:val="24"/>
              </w:rPr>
              <w:t>Dotacja przyznana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Towarzystwo Pamięci Powstania Wielkopolskiego 1918/1919 im. ppor. Franciszka Borzycha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Gminne uroczystości z okazji 94 rocznicy Powstania Wielkopolskiego 1918 - 1919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700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Towarzystwo Pamięci Powstania Wielkopolskiego 1918/1919 im. ppor. Franciszka Borzycha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Gminne Obchody 73. rocznicy Zbrodni Katyńskiej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300zł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Mroteckie Stowarzyszenie „Klub Abstynenta”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Piknik trzeźwościowy 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1000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Koło Gospodyń Wiejskich  w Mroczy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Udział w imprezach gminnych i powiatowych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1000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Koło Gospodyń Wiejskich w Drążnie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Impreza „Wspólnie znaczy lepiej, razem znaczy więcej”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150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Stowarzyszenie na Rzecz Rozwoju Wsi Drzewianowo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 </w:t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V Bieg Niepodległości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400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LUKS „FENIKS”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IX Wrześniowe Biegi „Feniksa”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1000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LUKS „FENIKS”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Liga halowej piłki nożnej+ Mikołajkowy Turniej Piłki Nożnej Halowej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500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9.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LUKS „FENIKS”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Turniej Ziemi Krajeńskiej w Minikoszykówce dziewcząt o Puchar Burmistrza MiG Mrocza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200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Polski Związek Hodowców</w:t>
              <w:br/>
              <w:t xml:space="preserve"> i Gołębi Pocztowych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sz w:val="24"/>
                <w:szCs w:val="24"/>
              </w:rPr>
              <w:t>Loty krajowe i zagraniczne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1000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11.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KGW i OSP Samsieczynek</w:t>
            </w:r>
          </w:p>
          <w:p>
            <w:pPr>
              <w:pStyle w:val="style0"/>
              <w:spacing w:after="200" w:before="0"/>
            </w:pPr>
            <w:bookmarkStart w:id="0" w:name="__DdeLink__399_952248076"/>
            <w:bookmarkEnd w:id="0"/>
            <w:r>
              <w:rPr>
                <w:sz w:val="24"/>
                <w:szCs w:val="24"/>
              </w:rPr>
              <w:t>(Współudział Sołectwa)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/>
            </w:r>
          </w:p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Samsieczyński rozrywkowo kulturalny dzień rozmaitości dla dzieci, mam i nie tylko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150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12.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Koło Gospodyń Wiejskich w Samsieczynku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sz w:val="24"/>
                <w:szCs w:val="24"/>
              </w:rPr>
              <w:t>Spotkanie noworoczne i wigilia- kolędowanie przy kominku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sz w:val="24"/>
                <w:szCs w:val="24"/>
              </w:rPr>
              <w:t>150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13.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Koło Gospodyń Wiejskich w Białowieży 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Konkurs pt. „Kobiety Gminy Mrocza- Portret Niezwykły”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14.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KGW Białowieża (Współudział Sołectwa)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Dzień Dziecka i Dzień Matki</w:t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Mikołajki + Gwiazdka z opłatkiem 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/>
              <w:t xml:space="preserve">150 zł 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15.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Koło Gospodyń Wiejskich w Kaźmierzewie 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 „</w:t>
            </w:r>
            <w:r>
              <w:rPr/>
              <w:t>Gęsina na św. Marcina”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16.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KGW i OSP Rościmin (</w:t>
            </w:r>
            <w:r>
              <w:rPr>
                <w:sz w:val="24"/>
                <w:szCs w:val="24"/>
              </w:rPr>
              <w:t>Współudział Sołectwa)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Piknik Rodzinny „Dziś mamy i Dzieci świętują, a tatusiowie obsługują”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/>
              <w:t>150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17.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Gminna Rada Kół Gospodyń Wiejskich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„</w:t>
            </w:r>
            <w:r>
              <w:rPr/>
              <w:t>Święto Pieczonego Ziemniaka”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300 zł</w:t>
            </w:r>
          </w:p>
        </w:tc>
      </w:tr>
      <w:tr>
        <w:trPr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18.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Warsztaty Terapii Zajęciowej Ośrodek Wsparcia „Nasz Dom”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VI Wojewódzki Konkurs Twórczości Osób Niepełnosprawnych pt. Razem przez Świat”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3 000 zł</w:t>
            </w:r>
          </w:p>
        </w:tc>
      </w:tr>
      <w:tr>
        <w:trPr>
          <w:trHeight w:hRule="atLeast" w:val="842"/>
          <w:cantSplit w:val="false"/>
        </w:trPr>
        <w:tc>
          <w:tcPr>
            <w:tcW w:type="dxa" w:w="69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 </w:t>
            </w:r>
            <w:r>
              <w:rPr/>
              <w:t>19.</w:t>
            </w:r>
          </w:p>
        </w:tc>
        <w:tc>
          <w:tcPr>
            <w:tcW w:type="dxa" w:w="278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Chór kościelny „Cecylia” w Mroczy</w:t>
            </w:r>
          </w:p>
        </w:tc>
        <w:tc>
          <w:tcPr>
            <w:tcW w:type="dxa" w:w="36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 xml:space="preserve">Wyjazdy na przeglądy chórów, udział w uroczystościach poza gminą. </w:t>
            </w:r>
          </w:p>
        </w:tc>
        <w:tc>
          <w:tcPr>
            <w:tcW w:type="dxa" w:w="220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1700 zł</w:t>
            </w:r>
          </w:p>
        </w:tc>
      </w:tr>
    </w:tbl>
    <w:p>
      <w:pPr>
        <w:pStyle w:val="style0"/>
        <w:spacing w:line="360" w:lineRule="auto"/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cs="Times New Roman" w:hAnsi="Times New Roman"/>
          <w:b/>
          <w:sz w:val="24"/>
          <w:szCs w:val="24"/>
        </w:rPr>
        <w:t xml:space="preserve">Razem:  12 250,00 zł </w:t>
      </w:r>
    </w:p>
    <w:p>
      <w:pPr>
        <w:pStyle w:val="style54"/>
        <w:numPr>
          <w:ilvl w:val="0"/>
          <w:numId w:val="3"/>
        </w:numPr>
        <w:spacing w:after="0" w:before="100" w:line="360" w:lineRule="auto"/>
        <w:jc w:val="both"/>
      </w:pPr>
      <w:r>
        <w:rPr>
          <w:b/>
          <w:bCs/>
          <w:sz w:val="24"/>
          <w:szCs w:val="24"/>
          <w:lang w:eastAsia="ar-SA"/>
        </w:rPr>
        <w:t xml:space="preserve">Współpraca pozafinansowa </w:t>
      </w:r>
    </w:p>
    <w:p>
      <w:pPr>
        <w:pStyle w:val="style0"/>
        <w:numPr>
          <w:ilvl w:val="0"/>
          <w:numId w:val="2"/>
        </w:numPr>
        <w:tabs>
          <w:tab w:leader="none" w:pos="708" w:val="left"/>
          <w:tab w:leader="none" w:pos="720" w:val="left"/>
        </w:tabs>
        <w:suppressAutoHyphens w:val="true"/>
        <w:spacing w:after="0" w:before="0" w:line="360" w:lineRule="auto"/>
        <w:jc w:val="both"/>
      </w:pPr>
      <w:r>
        <w:rPr>
          <w:rFonts w:ascii="Times New Roman" w:cs="Times New Roman" w:eastAsia="Calibri" w:hAnsi="Times New Roman"/>
          <w:sz w:val="24"/>
          <w:szCs w:val="24"/>
        </w:rPr>
        <w:t xml:space="preserve">pomoc organizacyjno– techniczna </w:t>
      </w:r>
      <w:r>
        <w:rPr>
          <w:rFonts w:ascii="Times New Roman" w:cs="Times New Roman" w:eastAsia="Calibri" w:hAnsi="Times New Roman"/>
          <w:color w:val="000000"/>
          <w:sz w:val="24"/>
          <w:szCs w:val="24"/>
        </w:rPr>
        <w:t xml:space="preserve"> dla organizacji (użyczenie sprzętu, wykonywanie dokumentacji fotograficznej podczas organizowanych imprez, bezpłatne udostępnianie sal i pomieszczeń na realizację działań, na spotkania, pisanie i drukowanie pism, projektowanie oraz drukowanie zaproszeń, dyplomów, plakatów),</w:t>
      </w:r>
    </w:p>
    <w:p>
      <w:pPr>
        <w:pStyle w:val="style0"/>
        <w:numPr>
          <w:ilvl w:val="0"/>
          <w:numId w:val="2"/>
        </w:numPr>
        <w:tabs>
          <w:tab w:leader="none" w:pos="708" w:val="left"/>
          <w:tab w:leader="none" w:pos="720" w:val="left"/>
        </w:tabs>
        <w:suppressAutoHyphens w:val="true"/>
        <w:spacing w:after="0" w:before="0" w:line="360" w:lineRule="auto"/>
        <w:jc w:val="both"/>
      </w:pPr>
      <w:r>
        <w:rPr>
          <w:rFonts w:ascii="Times New Roman" w:cs="Times New Roman" w:eastAsia="Calibri" w:hAnsi="Times New Roman"/>
          <w:color w:val="000000"/>
          <w:sz w:val="24"/>
          <w:szCs w:val="24"/>
        </w:rPr>
        <w:t xml:space="preserve">aktualizowanie bazy danych organizacji pozarządowych działających na terenieGminy Mrocza, tzw. </w:t>
      </w:r>
      <w:r>
        <w:rPr>
          <w:rFonts w:ascii="Times New Roman" w:cs="Times New Roman" w:eastAsia="Calibri" w:hAnsi="Times New Roman"/>
          <w:i/>
          <w:iCs/>
          <w:color w:val="000000"/>
          <w:sz w:val="24"/>
          <w:szCs w:val="24"/>
        </w:rPr>
        <w:t xml:space="preserve">mapy aktywności organizacji pozarządowych </w:t>
      </w:r>
      <w:r>
        <w:rPr>
          <w:rFonts w:ascii="Times New Roman" w:cs="Times New Roman" w:eastAsia="Calibri" w:hAnsi="Times New Roman"/>
          <w:color w:val="000000"/>
          <w:sz w:val="24"/>
          <w:szCs w:val="24"/>
        </w:rPr>
        <w:t xml:space="preserve">(spis organizacji, ich dane kontaktowe, zakres działania, skład osobowy Zarządu itp.) </w:t>
      </w:r>
    </w:p>
    <w:p>
      <w:pPr>
        <w:pStyle w:val="style0"/>
        <w:numPr>
          <w:ilvl w:val="0"/>
          <w:numId w:val="2"/>
        </w:numPr>
        <w:tabs>
          <w:tab w:leader="none" w:pos="708" w:val="left"/>
          <w:tab w:leader="none" w:pos="720" w:val="left"/>
        </w:tabs>
        <w:suppressAutoHyphens w:val="true"/>
        <w:spacing w:after="0" w:before="0" w:line="360" w:lineRule="auto"/>
        <w:jc w:val="both"/>
      </w:pPr>
      <w:r>
        <w:rPr>
          <w:rFonts w:ascii="Times New Roman" w:cs="Times New Roman" w:eastAsia="Calibri" w:hAnsi="Times New Roman"/>
          <w:color w:val="000000"/>
          <w:sz w:val="24"/>
          <w:szCs w:val="24"/>
        </w:rPr>
        <w:t xml:space="preserve">promocja działalności organizacji w mediach oraz na stronie internetowej Gminy Mrocza (zamieszczanie bieżących informacji o planowanych wydarzeniach, relacje z imprez, które organizują bądź w których uczestniczą organizacje, także informacje o ich osiągnięciach i sukcesach). </w:t>
      </w:r>
    </w:p>
    <w:p>
      <w:pPr>
        <w:pStyle w:val="style63"/>
        <w:tabs>
          <w:tab w:leader="none" w:pos="-741" w:val="left"/>
          <w:tab w:leader="none" w:pos="-457" w:val="left"/>
          <w:tab w:leader="none" w:pos="-258" w:val="left"/>
          <w:tab w:leader="none" w:pos="-237" w:val="left"/>
          <w:tab w:leader="none" w:pos="-173" w:val="left"/>
          <w:tab w:leader="none" w:pos="225" w:val="left"/>
        </w:tabs>
        <w:suppressAutoHyphens w:val="true"/>
        <w:spacing w:after="0" w:before="0" w:line="360" w:lineRule="auto"/>
        <w:ind w:hanging="0" w:left="-483" w:right="0"/>
        <w:jc w:val="both"/>
      </w:pPr>
      <w:r>
        <w:rPr/>
      </w:r>
    </w:p>
    <w:p>
      <w:pPr>
        <w:pStyle w:val="style63"/>
        <w:tabs>
          <w:tab w:leader="none" w:pos="-741" w:val="left"/>
          <w:tab w:leader="none" w:pos="-457" w:val="left"/>
          <w:tab w:leader="none" w:pos="-258" w:val="left"/>
          <w:tab w:leader="none" w:pos="-237" w:val="left"/>
          <w:tab w:leader="none" w:pos="-173" w:val="left"/>
          <w:tab w:leader="none" w:pos="225" w:val="left"/>
        </w:tabs>
        <w:suppressAutoHyphens w:val="true"/>
        <w:spacing w:after="0" w:before="0" w:line="360" w:lineRule="auto"/>
        <w:ind w:hanging="0" w:left="-483" w:right="0"/>
        <w:jc w:val="both"/>
      </w:pPr>
      <w:r>
        <w:rPr>
          <w:rFonts w:ascii="Times New Roman" w:cs="Times New Roman" w:hAnsi="Times New Roman"/>
          <w:i/>
          <w:sz w:val="20"/>
          <w:szCs w:val="20"/>
        </w:rPr>
        <w:t xml:space="preserve">  </w:t>
      </w:r>
      <w:r>
        <w:rPr>
          <w:rFonts w:ascii="Times New Roman" w:cs="Times New Roman" w:hAnsi="Times New Roman"/>
          <w:i/>
          <w:sz w:val="22"/>
          <w:szCs w:val="22"/>
        </w:rPr>
        <w:t xml:space="preserve">  </w:t>
      </w:r>
      <w:r>
        <w:rPr>
          <w:rFonts w:ascii="Times New Roman" w:cs="Times New Roman" w:hAnsi="Times New Roman"/>
          <w:i/>
          <w:sz w:val="21"/>
          <w:szCs w:val="21"/>
        </w:rPr>
        <w:t xml:space="preserve"> </w:t>
      </w:r>
    </w:p>
    <w:p>
      <w:pPr>
        <w:pStyle w:val="style63"/>
        <w:tabs>
          <w:tab w:leader="none" w:pos="-741" w:val="left"/>
          <w:tab w:leader="none" w:pos="-457" w:val="left"/>
          <w:tab w:leader="none" w:pos="-258" w:val="left"/>
          <w:tab w:leader="none" w:pos="-237" w:val="left"/>
          <w:tab w:leader="none" w:pos="-173" w:val="left"/>
          <w:tab w:leader="none" w:pos="225" w:val="left"/>
        </w:tabs>
        <w:suppressAutoHyphens w:val="true"/>
        <w:spacing w:after="0" w:before="0" w:line="360" w:lineRule="auto"/>
        <w:ind w:hanging="0" w:left="-483" w:right="0"/>
        <w:jc w:val="both"/>
      </w:pPr>
      <w:r>
        <w:rPr>
          <w:rFonts w:ascii="Times New Roman" w:cs="Times New Roman" w:hAnsi="Times New Roman"/>
          <w:i/>
          <w:sz w:val="21"/>
          <w:szCs w:val="21"/>
        </w:rPr>
        <w:t>Sporządził:  Szymon Wiese, 17.04.2014r.</w:t>
      </w:r>
    </w:p>
    <w:sectPr>
      <w:footerReference r:id="rId2" w:type="even"/>
      <w:footerReference r:id="rId3" w:type="default"/>
      <w:type w:val="nextPage"/>
      <w:pgSz w:h="16838" w:w="11906"/>
      <w:pgMar w:bottom="997" w:footer="288" w:gutter="0" w:header="0" w:left="1417" w:right="1417" w:top="1350"/>
      <w:pgNumType w:fmt="decimal"/>
      <w:formProt w:val="false"/>
      <w:textDirection w:val="lrTb"/>
      <w:docGrid w:charSpace="2457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80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style59"/>
      <w:ind w:firstLine="360" w:left="0" w:right="36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  <w:p>
    <w:pPr>
      <w:pStyle w:val="style59"/>
      <w:ind w:firstLine="36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bullet"/>
      <w:lvlText w:val=""/>
      <w:lvlJc w:val="left"/>
      <w:pPr>
        <w:ind w:hanging="360" w:left="780"/>
      </w:pPr>
      <w:rPr>
        <w:rFonts w:ascii="Wingdings" w:cs="Wingdings" w:hAnsi="Wingdings" w:hint="default"/>
      </w:rPr>
    </w:lvl>
    <w:lvl w:ilvl="1">
      <w:start w:val="1"/>
      <w:numFmt w:val="bullet"/>
      <w:lvlText w:val="o"/>
      <w:lvlJc w:val="left"/>
      <w:pPr>
        <w:ind w:hanging="360" w:left="150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22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94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8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10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82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540"/>
      </w:pPr>
      <w:rPr>
        <w:rFonts w:ascii="Wingdings" w:cs="Wingdings" w:hAnsi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Lucida Sans Unicode" w:hAnsi="Calibri"/>
      <w:color w:val="00000A"/>
      <w:sz w:val="22"/>
      <w:szCs w:val="22"/>
      <w:lang w:bidi="ar-SA" w:eastAsia="en-US" w:val="pl-PL"/>
    </w:rPr>
  </w:style>
  <w:style w:styleId="style1" w:type="paragraph">
    <w:name w:val="Nagłówek 1"/>
    <w:basedOn w:val="style0"/>
    <w:next w:val="style54"/>
    <w:pPr>
      <w:keepNext/>
      <w:widowControl w:val="false"/>
      <w:numPr>
        <w:ilvl w:val="0"/>
        <w:numId w:val="1"/>
      </w:numPr>
      <w:tabs>
        <w:tab w:leader="none" w:pos="2520" w:val="left"/>
      </w:tabs>
      <w:suppressAutoHyphens w:val="true"/>
      <w:spacing w:after="0" w:before="0" w:line="100" w:lineRule="atLeast"/>
      <w:ind w:hanging="360" w:left="360" w:right="0"/>
      <w:jc w:val="center"/>
      <w:outlineLvl w:val="0"/>
    </w:pPr>
    <w:rPr>
      <w:rFonts w:ascii="Times New Roman" w:cs="Times New Roman" w:eastAsia="Lucida Sans Unicode" w:hAnsi="Times New Roman"/>
      <w:b/>
      <w:bCs/>
      <w:sz w:val="24"/>
      <w:szCs w:val="20"/>
    </w:rPr>
  </w:style>
  <w:style w:styleId="style15" w:type="character">
    <w:name w:val="Default Paragraph Font"/>
    <w:next w:val="style15"/>
    <w:rPr/>
  </w:style>
  <w:style w:styleId="style16" w:type="character">
    <w:name w:val="Tekst podstawowy wcięty Znak"/>
    <w:basedOn w:val="style15"/>
    <w:next w:val="style16"/>
    <w:rPr>
      <w:rFonts w:ascii="Times New Roman" w:cs="Times New Roman" w:eastAsia="Times New Roman" w:hAnsi="Times New Roman"/>
      <w:b/>
      <w:sz w:val="28"/>
      <w:szCs w:val="28"/>
      <w:lang w:eastAsia="pl-PL"/>
    </w:rPr>
  </w:style>
  <w:style w:styleId="style17" w:type="character">
    <w:name w:val="Stopka Znak"/>
    <w:basedOn w:val="style15"/>
    <w:next w:val="style17"/>
    <w:rPr>
      <w:rFonts w:ascii="Times New Roman" w:cs="Times New Roman" w:eastAsia="Times New Roman" w:hAnsi="Times New Roman"/>
      <w:sz w:val="20"/>
      <w:szCs w:val="20"/>
      <w:lang w:eastAsia="pl-PL"/>
    </w:rPr>
  </w:style>
  <w:style w:styleId="style18" w:type="character">
    <w:name w:val="page number"/>
    <w:basedOn w:val="style15"/>
    <w:next w:val="style18"/>
    <w:rPr/>
  </w:style>
  <w:style w:styleId="style19" w:type="character">
    <w:name w:val="Tekst podstawowy Znak"/>
    <w:basedOn w:val="style15"/>
    <w:next w:val="style19"/>
    <w:rPr>
      <w:rFonts w:ascii="Times New Roman" w:cs="Times New Roman" w:eastAsia="Times New Roman" w:hAnsi="Times New Roman"/>
      <w:sz w:val="20"/>
      <w:szCs w:val="20"/>
      <w:lang w:eastAsia="pl-PL"/>
    </w:rPr>
  </w:style>
  <w:style w:styleId="style20" w:type="character">
    <w:name w:val="Tekst podstawowy wcięty 2 Znak"/>
    <w:basedOn w:val="style15"/>
    <w:next w:val="style20"/>
    <w:rPr>
      <w:rFonts w:ascii="Times New Roman" w:cs="Times New Roman" w:eastAsia="Times New Roman" w:hAnsi="Times New Roman"/>
      <w:sz w:val="20"/>
      <w:szCs w:val="20"/>
      <w:lang w:eastAsia="pl-PL"/>
    </w:rPr>
  </w:style>
  <w:style w:styleId="style21" w:type="character">
    <w:name w:val="Tekst przypisu dolnego Znak"/>
    <w:basedOn w:val="style15"/>
    <w:next w:val="style21"/>
    <w:rPr>
      <w:rFonts w:ascii="Times New Roman" w:cs="Times New Roman" w:eastAsia="Times New Roman" w:hAnsi="Times New Roman"/>
      <w:sz w:val="20"/>
      <w:szCs w:val="20"/>
      <w:lang w:eastAsia="pl-PL"/>
    </w:rPr>
  </w:style>
  <w:style w:styleId="style22" w:type="character">
    <w:name w:val="footnote reference"/>
    <w:basedOn w:val="style15"/>
    <w:next w:val="style22"/>
    <w:rPr>
      <w:vertAlign w:val="superscript"/>
    </w:rPr>
  </w:style>
  <w:style w:styleId="style23" w:type="character">
    <w:name w:val="Łącze internetowe"/>
    <w:basedOn w:val="style15"/>
    <w:next w:val="style23"/>
    <w:rPr>
      <w:color w:val="0000FF"/>
      <w:u w:val="single"/>
      <w:lang w:bidi="pl-PL" w:eastAsia="pl-PL" w:val="pl-PL"/>
    </w:rPr>
  </w:style>
  <w:style w:styleId="style24" w:type="character">
    <w:name w:val="Mocno wyróżniony"/>
    <w:basedOn w:val="style15"/>
    <w:next w:val="style24"/>
    <w:rPr>
      <w:b/>
      <w:bCs/>
    </w:rPr>
  </w:style>
  <w:style w:styleId="style25" w:type="character">
    <w:name w:val="Nagłówek 1 Znak"/>
    <w:basedOn w:val="style15"/>
    <w:next w:val="style25"/>
    <w:rPr>
      <w:rFonts w:ascii="Times New Roman" w:cs="Times New Roman" w:eastAsia="Lucida Sans Unicode" w:hAnsi="Times New Roman"/>
      <w:b/>
      <w:bCs/>
      <w:sz w:val="24"/>
      <w:szCs w:val="20"/>
    </w:rPr>
  </w:style>
  <w:style w:styleId="style26" w:type="character">
    <w:name w:val="Tytuł Znak"/>
    <w:basedOn w:val="style15"/>
    <w:next w:val="style26"/>
    <w:rPr>
      <w:rFonts w:ascii="Times New Roman" w:cs="Times New Roman" w:eastAsia="Lucida Sans Unicode" w:hAnsi="Times New Roman"/>
      <w:b/>
      <w:bCs/>
      <w:sz w:val="24"/>
      <w:szCs w:val="20"/>
    </w:rPr>
  </w:style>
  <w:style w:styleId="style27" w:type="character">
    <w:name w:val="Podtytuł Znak"/>
    <w:basedOn w:val="style15"/>
    <w:next w:val="style27"/>
    <w:rPr>
      <w:rFonts w:ascii="Cambria" w:cs="" w:hAnsi="Cambria"/>
      <w:i/>
      <w:iCs/>
      <w:color w:val="4F81BD"/>
      <w:spacing w:val="15"/>
      <w:sz w:val="24"/>
      <w:szCs w:val="24"/>
    </w:rPr>
  </w:style>
  <w:style w:styleId="style28" w:type="character">
    <w:name w:val="Tekst dymka Znak"/>
    <w:basedOn w:val="style15"/>
    <w:next w:val="style28"/>
    <w:rPr>
      <w:rFonts w:ascii="Tahoma" w:cs="Tahoma" w:hAnsi="Tahoma"/>
      <w:sz w:val="16"/>
      <w:szCs w:val="16"/>
    </w:rPr>
  </w:style>
  <w:style w:styleId="style29" w:type="character">
    <w:name w:val="ListLabel 1"/>
    <w:next w:val="style29"/>
    <w:rPr>
      <w:b/>
      <w:sz w:val="26"/>
    </w:rPr>
  </w:style>
  <w:style w:styleId="style30" w:type="character">
    <w:name w:val="ListLabel 2"/>
    <w:next w:val="style30"/>
    <w:rPr>
      <w:b/>
      <w:i w:val="false"/>
    </w:rPr>
  </w:style>
  <w:style w:styleId="style31" w:type="character">
    <w:name w:val="ListLabel 3"/>
    <w:next w:val="style31"/>
    <w:rPr>
      <w:b/>
      <w:i w:val="false"/>
      <w:sz w:val="24"/>
    </w:rPr>
  </w:style>
  <w:style w:styleId="style32" w:type="character">
    <w:name w:val="ListLabel 4"/>
    <w:next w:val="style32"/>
    <w:rPr>
      <w:rFonts w:cs="Courier New"/>
    </w:rPr>
  </w:style>
  <w:style w:styleId="style33" w:type="character">
    <w:name w:val="ListLabel 5"/>
    <w:next w:val="style33"/>
    <w:rPr>
      <w:rFonts w:cs="Times New Roman"/>
    </w:rPr>
  </w:style>
  <w:style w:styleId="style34" w:type="character">
    <w:name w:val="ListLabel 6"/>
    <w:next w:val="style34"/>
    <w:rPr>
      <w:rFonts w:cs="StarSymbol"/>
      <w:sz w:val="18"/>
      <w:szCs w:val="18"/>
    </w:rPr>
  </w:style>
  <w:style w:styleId="style35" w:type="character">
    <w:name w:val="ListLabel 7"/>
    <w:next w:val="style35"/>
    <w:rPr>
      <w:color w:val="00000A"/>
    </w:rPr>
  </w:style>
  <w:style w:styleId="style36" w:type="character">
    <w:name w:val="ListLabel 8"/>
    <w:next w:val="style36"/>
    <w:rPr>
      <w:rFonts w:cs="Times New Roman"/>
      <w:color w:val="00000A"/>
      <w:sz w:val="24"/>
      <w:szCs w:val="24"/>
    </w:rPr>
  </w:style>
  <w:style w:styleId="style37" w:type="character">
    <w:name w:val="ListLabel 9"/>
    <w:next w:val="style37"/>
    <w:rPr>
      <w:rFonts w:eastAsia="Calibri"/>
      <w:b/>
    </w:rPr>
  </w:style>
  <w:style w:styleId="style38" w:type="character">
    <w:name w:val="ListLabel 10"/>
    <w:next w:val="style38"/>
    <w:rPr>
      <w:rFonts w:cs="Wingdings"/>
    </w:rPr>
  </w:style>
  <w:style w:styleId="style39" w:type="character">
    <w:name w:val="ListLabel 11"/>
    <w:next w:val="style39"/>
    <w:rPr>
      <w:rFonts w:cs="Courier New"/>
    </w:rPr>
  </w:style>
  <w:style w:styleId="style40" w:type="character">
    <w:name w:val="ListLabel 12"/>
    <w:next w:val="style40"/>
    <w:rPr>
      <w:rFonts w:cs="Symbol"/>
    </w:rPr>
  </w:style>
  <w:style w:styleId="style41" w:type="character">
    <w:name w:val="ListLabel 13"/>
    <w:next w:val="style41"/>
    <w:rPr>
      <w:rFonts w:cs="Wingdings"/>
    </w:rPr>
  </w:style>
  <w:style w:styleId="style42" w:type="character">
    <w:name w:val="ListLabel 14"/>
    <w:next w:val="style42"/>
    <w:rPr>
      <w:rFonts w:cs="Courier New"/>
    </w:rPr>
  </w:style>
  <w:style w:styleId="style43" w:type="character">
    <w:name w:val="ListLabel 15"/>
    <w:next w:val="style43"/>
    <w:rPr>
      <w:rFonts w:cs="Symbol"/>
    </w:rPr>
  </w:style>
  <w:style w:styleId="style44" w:type="character">
    <w:name w:val="ListLabel 16"/>
    <w:next w:val="style44"/>
    <w:rPr>
      <w:rFonts w:cs="Wingdings"/>
    </w:rPr>
  </w:style>
  <w:style w:styleId="style45" w:type="character">
    <w:name w:val="ListLabel 17"/>
    <w:next w:val="style45"/>
    <w:rPr>
      <w:rFonts w:cs="Courier New"/>
    </w:rPr>
  </w:style>
  <w:style w:styleId="style46" w:type="character">
    <w:name w:val="ListLabel 18"/>
    <w:next w:val="style46"/>
    <w:rPr>
      <w:rFonts w:cs="Symbol"/>
    </w:rPr>
  </w:style>
  <w:style w:styleId="style47" w:type="character">
    <w:name w:val="ListLabel 19"/>
    <w:next w:val="style47"/>
    <w:rPr>
      <w:rFonts w:cs="Wingdings"/>
    </w:rPr>
  </w:style>
  <w:style w:styleId="style48" w:type="character">
    <w:name w:val="ListLabel 20"/>
    <w:next w:val="style48"/>
    <w:rPr>
      <w:rFonts w:cs="Courier New"/>
    </w:rPr>
  </w:style>
  <w:style w:styleId="style49" w:type="character">
    <w:name w:val="ListLabel 21"/>
    <w:next w:val="style49"/>
    <w:rPr>
      <w:rFonts w:cs="Symbol"/>
    </w:rPr>
  </w:style>
  <w:style w:styleId="style50" w:type="character">
    <w:name w:val="ListLabel 22"/>
    <w:next w:val="style50"/>
    <w:rPr>
      <w:rFonts w:cs="Wingdings"/>
    </w:rPr>
  </w:style>
  <w:style w:styleId="style51" w:type="character">
    <w:name w:val="ListLabel 23"/>
    <w:next w:val="style51"/>
    <w:rPr>
      <w:rFonts w:cs="Courier New"/>
    </w:rPr>
  </w:style>
  <w:style w:styleId="style52" w:type="character">
    <w:name w:val="ListLabel 24"/>
    <w:next w:val="style52"/>
    <w:rPr>
      <w:rFonts w:cs="Symbol"/>
    </w:rPr>
  </w:style>
  <w:style w:styleId="style53" w:type="paragraph">
    <w:name w:val="Nagłówek"/>
    <w:basedOn w:val="style0"/>
    <w:next w:val="style54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54" w:type="paragraph">
    <w:name w:val="Treść tekstu"/>
    <w:basedOn w:val="style0"/>
    <w:next w:val="style54"/>
    <w:pPr>
      <w:spacing w:after="120" w:before="0" w:line="100" w:lineRule="atLeast"/>
    </w:pPr>
    <w:rPr>
      <w:rFonts w:ascii="Times New Roman" w:cs="Times New Roman" w:eastAsia="Times New Roman" w:hAnsi="Times New Roman"/>
      <w:sz w:val="20"/>
      <w:szCs w:val="20"/>
      <w:lang w:eastAsia="pl-PL"/>
    </w:rPr>
  </w:style>
  <w:style w:styleId="style55" w:type="paragraph">
    <w:name w:val="Lista"/>
    <w:basedOn w:val="style54"/>
    <w:next w:val="style55"/>
    <w:pPr/>
    <w:rPr>
      <w:rFonts w:cs="Mangal"/>
    </w:rPr>
  </w:style>
  <w:style w:styleId="style56" w:type="paragraph">
    <w:name w:val="Podpis"/>
    <w:basedOn w:val="style0"/>
    <w:next w:val="style56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57" w:type="paragraph">
    <w:name w:val="Indeks"/>
    <w:basedOn w:val="style0"/>
    <w:next w:val="style57"/>
    <w:pPr>
      <w:suppressLineNumbers/>
    </w:pPr>
    <w:rPr>
      <w:rFonts w:cs="Mangal"/>
    </w:rPr>
  </w:style>
  <w:style w:styleId="style58" w:type="paragraph">
    <w:name w:val="Wcięcie tekstu"/>
    <w:basedOn w:val="style0"/>
    <w:next w:val="style58"/>
    <w:pPr>
      <w:spacing w:after="0" w:before="0" w:line="100" w:lineRule="atLeast"/>
      <w:ind w:hanging="0" w:left="360" w:right="0"/>
      <w:jc w:val="center"/>
    </w:pPr>
    <w:rPr>
      <w:rFonts w:ascii="Times New Roman" w:cs="Times New Roman" w:eastAsia="Times New Roman" w:hAnsi="Times New Roman"/>
      <w:b/>
      <w:sz w:val="28"/>
      <w:szCs w:val="28"/>
      <w:lang w:eastAsia="pl-PL"/>
    </w:rPr>
  </w:style>
  <w:style w:styleId="style59" w:type="paragraph">
    <w:name w:val="Stopka"/>
    <w:basedOn w:val="style0"/>
    <w:next w:val="style59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</w:pPr>
    <w:rPr>
      <w:rFonts w:ascii="Times New Roman" w:cs="Times New Roman" w:eastAsia="Times New Roman" w:hAnsi="Times New Roman"/>
      <w:sz w:val="20"/>
      <w:szCs w:val="20"/>
      <w:lang w:eastAsia="pl-PL"/>
    </w:rPr>
  </w:style>
  <w:style w:styleId="style60" w:type="paragraph">
    <w:name w:val="Body Text Indent 2"/>
    <w:basedOn w:val="style0"/>
    <w:next w:val="style60"/>
    <w:pPr>
      <w:spacing w:after="120" w:before="0" w:line="480" w:lineRule="auto"/>
      <w:ind w:hanging="0" w:left="283" w:right="0"/>
    </w:pPr>
    <w:rPr>
      <w:rFonts w:ascii="Times New Roman" w:cs="Times New Roman" w:eastAsia="Times New Roman" w:hAnsi="Times New Roman"/>
      <w:sz w:val="20"/>
      <w:szCs w:val="20"/>
      <w:lang w:eastAsia="pl-PL"/>
    </w:rPr>
  </w:style>
  <w:style w:styleId="style61" w:type="paragraph">
    <w:name w:val="footnote text"/>
    <w:basedOn w:val="style0"/>
    <w:next w:val="style61"/>
    <w:pPr>
      <w:spacing w:after="0" w:before="0" w:line="100" w:lineRule="atLeast"/>
    </w:pPr>
    <w:rPr>
      <w:rFonts w:ascii="Times New Roman" w:cs="Times New Roman" w:eastAsia="Times New Roman" w:hAnsi="Times New Roman"/>
      <w:sz w:val="20"/>
      <w:szCs w:val="20"/>
      <w:lang w:eastAsia="pl-PL"/>
    </w:rPr>
  </w:style>
  <w:style w:styleId="style62" w:type="paragraph">
    <w:name w:val="Normal (Web)"/>
    <w:basedOn w:val="style0"/>
    <w:next w:val="style62"/>
    <w:pPr>
      <w:spacing w:after="100" w:before="100" w:line="100" w:lineRule="atLeast"/>
    </w:pPr>
    <w:rPr>
      <w:rFonts w:ascii="Arial Unicode MS" w:cs="Times New Roman" w:eastAsia="Arial Unicode MS" w:hAnsi="Arial Unicode MS"/>
      <w:color w:val="008000"/>
      <w:sz w:val="24"/>
      <w:szCs w:val="20"/>
      <w:lang w:eastAsia="pl-PL"/>
    </w:rPr>
  </w:style>
  <w:style w:styleId="style63" w:type="paragraph">
    <w:name w:val="List Paragraph"/>
    <w:basedOn w:val="style0"/>
    <w:next w:val="style63"/>
    <w:pPr>
      <w:ind w:hanging="0" w:left="720" w:right="0"/>
    </w:pPr>
    <w:rPr/>
  </w:style>
  <w:style w:styleId="style64" w:type="paragraph">
    <w:name w:val="Tytuł"/>
    <w:basedOn w:val="style0"/>
    <w:next w:val="style65"/>
    <w:pPr>
      <w:widowControl w:val="false"/>
      <w:suppressAutoHyphens w:val="true"/>
      <w:spacing w:after="0" w:before="0" w:line="100" w:lineRule="atLeast"/>
      <w:jc w:val="center"/>
    </w:pPr>
    <w:rPr>
      <w:rFonts w:ascii="Times New Roman" w:cs="Times New Roman" w:eastAsia="Lucida Sans Unicode" w:hAnsi="Times New Roman"/>
      <w:b/>
      <w:bCs/>
      <w:sz w:val="24"/>
      <w:szCs w:val="20"/>
    </w:rPr>
  </w:style>
  <w:style w:styleId="style65" w:type="paragraph">
    <w:name w:val="Podtytuł"/>
    <w:basedOn w:val="style0"/>
    <w:next w:val="style54"/>
    <w:pPr>
      <w:jc w:val="center"/>
    </w:pPr>
    <w:rPr>
      <w:rFonts w:ascii="Cambria" w:cs="" w:hAnsi="Cambria"/>
      <w:i/>
      <w:iCs/>
      <w:color w:val="4F81BD"/>
      <w:spacing w:val="15"/>
      <w:sz w:val="24"/>
      <w:szCs w:val="24"/>
    </w:rPr>
  </w:style>
  <w:style w:styleId="style66" w:type="paragraph">
    <w:name w:val="WW-Zawartość tabeli1"/>
    <w:basedOn w:val="style54"/>
    <w:next w:val="style66"/>
    <w:pPr>
      <w:widowControl w:val="false"/>
      <w:suppressAutoHyphens w:val="true"/>
    </w:pPr>
    <w:rPr>
      <w:rFonts w:eastAsia="Lucida Sans Unicode"/>
      <w:sz w:val="24"/>
    </w:rPr>
  </w:style>
  <w:style w:styleId="style67" w:type="paragraph">
    <w:name w:val="Balloon Text"/>
    <w:basedOn w:val="style0"/>
    <w:next w:val="style67"/>
    <w:pPr>
      <w:spacing w:after="0" w:before="0" w:line="100" w:lineRule="atLeast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Application>LibreOffice/3.5$Windows_x86 LibreOffice_project/235ab8a-3802056-4a8fed3-2d66ea8-e241b80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2009-02-09T10:50:00.00Z</dcterms:created>
  <dc:creator>Joanna Murawiec</dc:creator>
  <cp:lastModifiedBy>Joanna Murawiec</cp:lastModifiedBy>
  <cp:lastPrinted>2014-04-22T13:24:36.20Z</cp:lastPrinted>
  <dcterms:modified xsi:type="dcterms:W3CDTF">2013-04-30T12:00:00.00Z</dcterms:modified>
  <cp:revision>343</cp:revision>
</cp:coreProperties>
</file>